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tabs>
          <w:tab w:val="left" w:pos="0" w:leader="none"/>
        </w:tabs>
        <w:spacing w:before="0" w:after="0" w:line="240"/>
        <w:ind w:right="0" w:left="0" w:firstLine="0"/>
        <w:jc w:val="center"/>
        <w:rPr>
          <w:rFonts w:ascii="Times New Roman" w:hAnsi="Times New Roman" w:cs="Times New Roman" w:eastAsia="Times New Roman"/>
          <w:b/>
          <w:i/>
          <w:color w:val="0070C0"/>
          <w:spacing w:val="0"/>
          <w:position w:val="0"/>
          <w:sz w:val="20"/>
          <w:shd w:fill="auto" w:val="clear"/>
        </w:rPr>
      </w:pPr>
      <w:r>
        <w:object w:dxaOrig="8422" w:dyaOrig="1882">
          <v:rect xmlns:o="urn:schemas-microsoft-com:office:office" xmlns:v="urn:schemas-microsoft-com:vml" id="rectole0000000000" style="width:421.100000pt;height:94.1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tabs>
          <w:tab w:val="left" w:pos="0" w:leader="none"/>
        </w:tabs>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 D I T A L D E CHAMADA PÚBLICA Nº.  </w:t>
      </w:r>
      <w:r>
        <w:rPr>
          <w:rFonts w:ascii="Times New Roman" w:hAnsi="Times New Roman" w:cs="Times New Roman" w:eastAsia="Times New Roman"/>
          <w:b/>
          <w:color w:val="FF0000"/>
          <w:spacing w:val="0"/>
          <w:position w:val="0"/>
          <w:sz w:val="24"/>
          <w:shd w:fill="auto" w:val="clear"/>
        </w:rPr>
        <w:t xml:space="preserve">(NÚMERO 01/2012)</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w:t>
      </w:r>
      <w:r>
        <w:rPr>
          <w:rFonts w:ascii="Times New Roman" w:hAnsi="Times New Roman" w:cs="Times New Roman" w:eastAsia="Times New Roman"/>
          <w:color w:val="FF0000"/>
          <w:spacing w:val="0"/>
          <w:position w:val="0"/>
          <w:sz w:val="24"/>
          <w:shd w:fill="auto" w:val="clear"/>
        </w:rPr>
        <w:t xml:space="preserve">CONSELHO ESCOLAR CASTELO BRANCO</w:t>
      </w:r>
      <w:r>
        <w:rPr>
          <w:rFonts w:ascii="Times New Roman" w:hAnsi="Times New Roman" w:cs="Times New Roman" w:eastAsia="Times New Roman"/>
          <w:color w:val="auto"/>
          <w:spacing w:val="0"/>
          <w:position w:val="0"/>
          <w:sz w:val="24"/>
          <w:shd w:fill="auto" w:val="clear"/>
        </w:rPr>
        <w:t xml:space="preserve">    da Unidade Escolar </w:t>
      </w:r>
      <w:r>
        <w:rPr>
          <w:rFonts w:ascii="Times New Roman" w:hAnsi="Times New Roman" w:cs="Times New Roman" w:eastAsia="Times New Roman"/>
          <w:color w:val="FF0000"/>
          <w:spacing w:val="0"/>
          <w:position w:val="0"/>
          <w:sz w:val="24"/>
          <w:shd w:fill="auto" w:val="clear"/>
        </w:rPr>
        <w:t xml:space="preserve">COLÉGIO ESTADUAL CASTELO   BRANCO </w:t>
      </w:r>
      <w:r>
        <w:rPr>
          <w:rFonts w:ascii="Times New Roman" w:hAnsi="Times New Roman" w:cs="Times New Roman" w:eastAsia="Times New Roman"/>
          <w:color w:val="auto"/>
          <w:spacing w:val="0"/>
          <w:position w:val="0"/>
          <w:sz w:val="24"/>
          <w:shd w:fill="auto" w:val="clear"/>
        </w:rPr>
        <w:t xml:space="preserve">município de </w:t>
      </w:r>
      <w:r>
        <w:rPr>
          <w:rFonts w:ascii="Times New Roman" w:hAnsi="Times New Roman" w:cs="Times New Roman" w:eastAsia="Times New Roman"/>
          <w:color w:val="FF0000"/>
          <w:spacing w:val="0"/>
          <w:position w:val="0"/>
          <w:sz w:val="24"/>
          <w:shd w:fill="auto" w:val="clear"/>
        </w:rPr>
        <w:t xml:space="preserve">CAMPESTRE DE GOIÁS</w:t>
      </w:r>
      <w:r>
        <w:rPr>
          <w:rFonts w:ascii="Times New Roman" w:hAnsi="Times New Roman" w:cs="Times New Roman" w:eastAsia="Times New Roman"/>
          <w:color w:val="auto"/>
          <w:spacing w:val="0"/>
          <w:position w:val="0"/>
          <w:sz w:val="24"/>
          <w:shd w:fill="auto" w:val="clear"/>
        </w:rPr>
        <w:t xml:space="preserve"> no Estado de Goiás, pessoa jurídica de Direito Privado, com sede  na </w:t>
      </w:r>
      <w:r>
        <w:rPr>
          <w:rFonts w:ascii="Times New Roman" w:hAnsi="Times New Roman" w:cs="Times New Roman" w:eastAsia="Times New Roman"/>
          <w:color w:val="FF0000"/>
          <w:spacing w:val="0"/>
          <w:position w:val="0"/>
          <w:sz w:val="24"/>
          <w:shd w:fill="auto" w:val="clear"/>
        </w:rPr>
        <w:t xml:space="preserve">AV. TRINDADE S/N CENTRO CAMPESTRE DE GOIÁS- CEP: 75385000</w:t>
      </w:r>
      <w:r>
        <w:rPr>
          <w:rFonts w:ascii="Times New Roman" w:hAnsi="Times New Roman" w:cs="Times New Roman" w:eastAsia="Times New Roman"/>
          <w:color w:val="auto"/>
          <w:spacing w:val="0"/>
          <w:position w:val="0"/>
          <w:sz w:val="24"/>
          <w:shd w:fill="auto" w:val="clear"/>
        </w:rPr>
        <w:t xml:space="preserve">, inscrita no CNPJ/MF sob o nº </w:t>
      </w:r>
      <w:r>
        <w:rPr>
          <w:rFonts w:ascii="Times New Roman" w:hAnsi="Times New Roman" w:cs="Times New Roman" w:eastAsia="Times New Roman"/>
          <w:color w:val="FF0000"/>
          <w:spacing w:val="0"/>
          <w:position w:val="0"/>
          <w:sz w:val="24"/>
          <w:shd w:fill="auto" w:val="clear"/>
        </w:rPr>
        <w:t xml:space="preserve">00.685.999/0001-50</w:t>
      </w:r>
      <w:r>
        <w:rPr>
          <w:rFonts w:ascii="Times New Roman" w:hAnsi="Times New Roman" w:cs="Times New Roman" w:eastAsia="Times New Roman"/>
          <w:color w:val="auto"/>
          <w:spacing w:val="0"/>
          <w:position w:val="0"/>
          <w:sz w:val="24"/>
          <w:shd w:fill="auto" w:val="clear"/>
        </w:rPr>
        <w:t xml:space="preserve">, neste ato representado pelo Presidente do Conselho o (a) Sr (a) </w:t>
      </w:r>
      <w:r>
        <w:rPr>
          <w:rFonts w:ascii="Times New Roman" w:hAnsi="Times New Roman" w:cs="Times New Roman" w:eastAsia="Times New Roman"/>
          <w:color w:val="FF0000"/>
          <w:spacing w:val="0"/>
          <w:position w:val="0"/>
          <w:sz w:val="24"/>
          <w:shd w:fill="auto" w:val="clear"/>
        </w:rPr>
        <w:t xml:space="preserve">REINALDO ANTONIO DE SOUZA, Professor PIII </w:t>
      </w:r>
      <w:r>
        <w:rPr>
          <w:rFonts w:ascii="Times New Roman" w:hAnsi="Times New Roman" w:cs="Times New Roman" w:eastAsia="Times New Roman"/>
          <w:color w:val="auto"/>
          <w:spacing w:val="0"/>
          <w:position w:val="0"/>
          <w:sz w:val="24"/>
          <w:shd w:fill="auto" w:val="clear"/>
        </w:rPr>
        <w:t xml:space="preserve">inscrito (a) no CPF/MF sob o nº </w:t>
      </w:r>
      <w:r>
        <w:rPr>
          <w:rFonts w:ascii="Times New Roman" w:hAnsi="Times New Roman" w:cs="Times New Roman" w:eastAsia="Times New Roman"/>
          <w:color w:val="FF0000"/>
          <w:spacing w:val="0"/>
          <w:position w:val="0"/>
          <w:sz w:val="24"/>
          <w:shd w:fill="auto" w:val="clear"/>
        </w:rPr>
        <w:t xml:space="preserve">806.582.451-04,</w:t>
      </w:r>
      <w:r>
        <w:rPr>
          <w:rFonts w:ascii="Times New Roman" w:hAnsi="Times New Roman" w:cs="Times New Roman" w:eastAsia="Times New Roman"/>
          <w:color w:val="auto"/>
          <w:spacing w:val="0"/>
          <w:position w:val="0"/>
          <w:sz w:val="24"/>
          <w:shd w:fill="auto" w:val="clear"/>
        </w:rPr>
        <w:t xml:space="preserve"> Carteira de Identidade nº </w:t>
      </w:r>
      <w:r>
        <w:rPr>
          <w:rFonts w:ascii="Times New Roman" w:hAnsi="Times New Roman" w:cs="Times New Roman" w:eastAsia="Times New Roman"/>
          <w:color w:val="FF0000"/>
          <w:spacing w:val="0"/>
          <w:position w:val="0"/>
          <w:sz w:val="24"/>
          <w:shd w:fill="auto" w:val="clear"/>
        </w:rPr>
        <w:t xml:space="preserve">34457036643949</w:t>
      </w:r>
      <w:r>
        <w:rPr>
          <w:rFonts w:ascii="Times New Roman" w:hAnsi="Times New Roman" w:cs="Times New Roman" w:eastAsia="Times New Roman"/>
          <w:color w:val="auto"/>
          <w:spacing w:val="0"/>
          <w:position w:val="0"/>
          <w:sz w:val="24"/>
          <w:shd w:fill="auto" w:val="clear"/>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rFonts w:ascii="Times New Roman" w:hAnsi="Times New Roman" w:cs="Times New Roman" w:eastAsia="Times New Roman"/>
          <w:color w:val="FF0000"/>
          <w:spacing w:val="0"/>
          <w:position w:val="0"/>
          <w:sz w:val="24"/>
          <w:shd w:fill="auto" w:val="clear"/>
        </w:rPr>
        <w:t xml:space="preserve">18/01/2012 A 30/04/2012</w:t>
      </w:r>
      <w:r>
        <w:rPr>
          <w:rFonts w:ascii="Times New Roman" w:hAnsi="Times New Roman" w:cs="Times New Roman" w:eastAsia="Times New Roman"/>
          <w:color w:val="auto"/>
          <w:spacing w:val="0"/>
          <w:position w:val="0"/>
          <w:sz w:val="24"/>
          <w:shd w:fill="auto" w:val="clear"/>
        </w:rPr>
        <w:t xml:space="preserve">.  Os interessados deverão apresentar a documentação para habilitação e proposta de preços até o dia </w:t>
      </w:r>
      <w:r>
        <w:rPr>
          <w:rFonts w:ascii="Times New Roman" w:hAnsi="Times New Roman" w:cs="Times New Roman" w:eastAsia="Times New Roman"/>
          <w:color w:val="FF0000"/>
          <w:spacing w:val="0"/>
          <w:position w:val="0"/>
          <w:sz w:val="24"/>
          <w:shd w:fill="auto" w:val="clear"/>
        </w:rPr>
        <w:t xml:space="preserve">28/01/2012</w:t>
      </w:r>
      <w:r>
        <w:rPr>
          <w:rFonts w:ascii="Times New Roman" w:hAnsi="Times New Roman" w:cs="Times New Roman" w:eastAsia="Times New Roman"/>
          <w:color w:val="auto"/>
          <w:spacing w:val="0"/>
          <w:position w:val="0"/>
          <w:sz w:val="24"/>
          <w:shd w:fill="auto" w:val="clear"/>
        </w:rPr>
        <w:t xml:space="preserve">, no horário das </w:t>
      </w:r>
      <w:r>
        <w:rPr>
          <w:rFonts w:ascii="Times New Roman" w:hAnsi="Times New Roman" w:cs="Times New Roman" w:eastAsia="Times New Roman"/>
          <w:color w:val="FF0000"/>
          <w:spacing w:val="0"/>
          <w:position w:val="0"/>
          <w:sz w:val="24"/>
          <w:shd w:fill="auto" w:val="clear"/>
        </w:rPr>
        <w:t xml:space="preserve">08h00 AS 12h00</w:t>
      </w:r>
      <w:r>
        <w:rPr>
          <w:rFonts w:ascii="Times New Roman" w:hAnsi="Times New Roman" w:cs="Times New Roman" w:eastAsia="Times New Roman"/>
          <w:color w:val="auto"/>
          <w:spacing w:val="0"/>
          <w:position w:val="0"/>
          <w:sz w:val="24"/>
          <w:shd w:fill="auto" w:val="clear"/>
        </w:rPr>
        <w:t xml:space="preserve">, na sede do Conselho Escolar, situada à </w:t>
      </w:r>
      <w:r>
        <w:rPr>
          <w:rFonts w:ascii="Times New Roman" w:hAnsi="Times New Roman" w:cs="Times New Roman" w:eastAsia="Times New Roman"/>
          <w:color w:val="FF0000"/>
          <w:spacing w:val="0"/>
          <w:position w:val="0"/>
          <w:sz w:val="24"/>
          <w:shd w:fill="auto" w:val="clear"/>
        </w:rPr>
        <w:t xml:space="preserve">AV. TRINDADE S/N CENTRO CAMPESTRE DE GOIÁS.</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tabs>
          <w:tab w:val="left" w:pos="4419" w:leader="none"/>
          <w:tab w:val="left" w:pos="8838" w:leader="none"/>
        </w:tabs>
        <w:spacing w:before="0" w:after="0" w:line="360"/>
        <w:ind w:right="-143"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OBJETO </w:t>
      </w:r>
    </w:p>
    <w:p>
      <w:pPr>
        <w:tabs>
          <w:tab w:val="left" w:pos="4419" w:leader="none"/>
          <w:tab w:val="left" w:pos="8838" w:leader="none"/>
        </w:tabs>
        <w:spacing w:before="0" w:after="0" w:line="360"/>
        <w:ind w:right="-143"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pPr>
        <w:tabs>
          <w:tab w:val="left" w:pos="4419" w:leader="none"/>
          <w:tab w:val="left" w:pos="8838" w:leader="none"/>
        </w:tabs>
        <w:spacing w:before="0" w:after="0" w:line="360"/>
        <w:ind w:right="-143" w:left="0" w:firstLine="0"/>
        <w:jc w:val="both"/>
        <w:rPr>
          <w:rFonts w:ascii="Times New Roman" w:hAnsi="Times New Roman" w:cs="Times New Roman" w:eastAsia="Times New Roman"/>
          <w:color w:val="auto"/>
          <w:spacing w:val="0"/>
          <w:position w:val="0"/>
          <w:sz w:val="24"/>
          <w:shd w:fill="auto" w:val="clear"/>
        </w:rPr>
      </w:pPr>
    </w:p>
    <w:p>
      <w:pPr>
        <w:tabs>
          <w:tab w:val="left" w:pos="4419" w:leader="none"/>
          <w:tab w:val="left" w:pos="8838" w:leader="none"/>
        </w:tabs>
        <w:spacing w:before="0" w:after="0" w:line="360"/>
        <w:ind w:right="-143"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DATA, LOCAL E HORA PARA RECEBIMENTO DOS ENVELOPES</w:t>
      </w:r>
    </w:p>
    <w:p>
      <w:pPr>
        <w:tabs>
          <w:tab w:val="left" w:pos="4419" w:leader="none"/>
          <w:tab w:val="left" w:pos="8838" w:leader="none"/>
        </w:tabs>
        <w:spacing w:before="0" w:after="0" w:line="360"/>
        <w:ind w:right="-143"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Até o dia, hora, e local mencionados no preâmbulo deste Edital, os interessados entregarão dois envelopes distintos, sendo um de documentação – HABILITAÇÃO e outro de Proposta de Preços.</w:t>
      </w:r>
    </w:p>
    <w:p>
      <w:pPr>
        <w:spacing w:before="0" w:after="0" w:line="360"/>
        <w:ind w:right="-143"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2.1 - </w:t>
      </w:r>
      <w:r>
        <w:rPr>
          <w:rFonts w:ascii="Times New Roman" w:hAnsi="Times New Roman" w:cs="Times New Roman" w:eastAsia="Times New Roman"/>
          <w:color w:val="auto"/>
          <w:spacing w:val="0"/>
          <w:position w:val="0"/>
          <w:sz w:val="24"/>
          <w:shd w:fill="auto" w:val="clear"/>
        </w:rPr>
        <w:t xml:space="preserve">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pPr>
        <w:spacing w:before="0" w:after="0" w:line="360"/>
        <w:ind w:right="-1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2.2</w:t>
      </w:r>
      <w:r>
        <w:rPr>
          <w:rFonts w:ascii="Times New Roman" w:hAnsi="Times New Roman" w:cs="Times New Roman" w:eastAsia="Times New Roman"/>
          <w:color w:val="auto"/>
          <w:spacing w:val="0"/>
          <w:position w:val="0"/>
          <w:sz w:val="24"/>
          <w:shd w:fill="auto" w:val="clear"/>
        </w:rPr>
        <w:t xml:space="preserve"> - Aquisição do edital: site: </w:t>
      </w:r>
      <w:hyperlink xmlns:r="http://schemas.openxmlformats.org/officeDocument/2006/relationships" r:id="docRId2">
        <w:r>
          <w:rPr>
            <w:rFonts w:ascii="Times New Roman" w:hAnsi="Times New Roman" w:cs="Times New Roman" w:eastAsia="Times New Roman"/>
            <w:b/>
            <w:color w:val="0070C0"/>
            <w:spacing w:val="0"/>
            <w:position w:val="0"/>
            <w:sz w:val="24"/>
            <w:u w:val="single"/>
            <w:shd w:fill="auto" w:val="clear"/>
          </w:rPr>
          <w:t xml:space="preserve">www.seduc.go.gov.br</w:t>
        </w:r>
      </w:hyperlink>
    </w:p>
    <w:p>
      <w:pPr>
        <w:spacing w:before="0" w:after="0" w:line="360"/>
        <w:ind w:right="-142"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142"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142"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142"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142" w:left="540" w:hanging="54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FONTE DE RECURSO</w:t>
      </w:r>
    </w:p>
    <w:p>
      <w:pPr>
        <w:spacing w:before="0" w:after="0" w:line="360"/>
        <w:ind w:right="-143" w:left="540" w:hanging="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Recursos provenientes do Convênio FNDE.</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DOCUMENTAÇÃO PARA HABILITAÇÃO – Envelope nº 001</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4.1 Grupos Formais de Agricultores Familiares e de Empreendedores Familiares Rurais </w:t>
      </w:r>
      <w:r>
        <w:rPr>
          <w:rFonts w:ascii="Times New Roman" w:hAnsi="Times New Roman" w:cs="Times New Roman" w:eastAsia="Times New Roman"/>
          <w:color w:val="auto"/>
          <w:spacing w:val="0"/>
          <w:position w:val="0"/>
          <w:sz w:val="24"/>
          <w:shd w:fill="auto" w:val="clear"/>
        </w:rPr>
        <w:t xml:space="preserve">deverão entregar ao Presidente Conselho da Unidade Escolar ou à Comissão de Avaliação Alimentícia designada pela </w:t>
      </w:r>
      <w:r>
        <w:rPr>
          <w:rFonts w:ascii="Times New Roman" w:hAnsi="Times New Roman" w:cs="Times New Roman" w:eastAsia="Times New Roman"/>
          <w:b/>
          <w:color w:val="auto"/>
          <w:spacing w:val="0"/>
          <w:position w:val="0"/>
          <w:sz w:val="24"/>
          <w:shd w:fill="auto" w:val="clear"/>
        </w:rPr>
        <w:t xml:space="preserve">Portaria (caso tenha) </w:t>
      </w:r>
      <w:r>
        <w:rPr>
          <w:rFonts w:ascii="Times New Roman" w:hAnsi="Times New Roman" w:cs="Times New Roman" w:eastAsia="Times New Roman"/>
          <w:color w:val="auto"/>
          <w:spacing w:val="0"/>
          <w:position w:val="0"/>
          <w:sz w:val="24"/>
          <w:shd w:fill="auto" w:val="clear"/>
        </w:rPr>
        <w:t xml:space="preserve">de aquisição de Produtos da Agricultura Familiar e Empreendedor Familiar Rural Para a Merenda Escolar, no período determinado, os documentos relacionados abaixo para serem avaliados e aprovados:</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 cópia e original de inscrição no Cadastro de Pessoa Jurídica (CNPJ);</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II – cópia da Declaração de Aptidão ao Programa Nacional de Fortalecimento da Agricultura Familiar (PRONAF) DAP principal, ou extrato da DAP, de cada Agricultor Familiar participante;</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III – Certidão Negativa de Débitos junto à Previdência Social – CND;</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IV – Certidão Negativa junto ao FGTS - CRF;</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 – Certidão Conjunta Negativa de Débitos relativos a Tributos Federais e à Dívida Ativa da União;</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VII – Projeto de Venda de Gêneros Alimentícios da Agricultura Familiar para Alimentação Escolar, de acordo com os anexos dessa Chamada Pública, assinada pela diretoria da entidade articuladora;</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IX – Declaração de capacidade de produção, beneficiamento e transporte.</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 DOCUMENTAÇÃO PARA HABILITAÇÃO – Envelope nº 001</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5.1.Grupos Informais de Agricultores </w:t>
      </w:r>
      <w:r>
        <w:rPr>
          <w:rFonts w:ascii="Times New Roman" w:hAnsi="Times New Roman" w:cs="Times New Roman" w:eastAsia="Times New Roman"/>
          <w:color w:val="auto"/>
          <w:spacing w:val="0"/>
          <w:position w:val="0"/>
          <w:sz w:val="24"/>
          <w:shd w:fill="auto" w:val="clear"/>
        </w:rPr>
        <w:t xml:space="preserve">deverão entregar à Comissão de Avaliação Alimentícia designada pela </w:t>
      </w:r>
      <w:r>
        <w:rPr>
          <w:rFonts w:ascii="Times New Roman" w:hAnsi="Times New Roman" w:cs="Times New Roman" w:eastAsia="Times New Roman"/>
          <w:b/>
          <w:color w:val="auto"/>
          <w:spacing w:val="0"/>
          <w:position w:val="0"/>
          <w:sz w:val="24"/>
          <w:shd w:fill="auto" w:val="clear"/>
        </w:rPr>
        <w:t xml:space="preserve">Portaria (caso tenha) </w:t>
      </w:r>
      <w:r>
        <w:rPr>
          <w:rFonts w:ascii="Times New Roman" w:hAnsi="Times New Roman" w:cs="Times New Roman" w:eastAsia="Times New Roman"/>
          <w:color w:val="auto"/>
          <w:spacing w:val="0"/>
          <w:position w:val="0"/>
          <w:sz w:val="24"/>
          <w:shd w:fill="auto" w:val="clear"/>
        </w:rPr>
        <w:t xml:space="preserve">de aquisição de Produtos da Agricultura Familiar e Empreendedor Familiar Rural para a Merenda Escolar, no período determinado, os documentos relacionados abaixo para serem avaliados e aprovados:</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 cópia de inscrição no cadastro de pessoa física (CPF);</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II – cópia da Declaração de Aptidão ao Programa Nacional de Fortalecimento da Agricultura Familiar (PRONAF) DAP principal, ou extrato da DAP, de cada Agricultor Familiar participante;</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III – Prova de atendimento de requisitos previstos em Lei especial, quando for o caso.</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6. ENVELOPE Nº 002- PROPOSTA DE PREÇOS</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6.1. </w:t>
      </w:r>
      <w:r>
        <w:rPr>
          <w:rFonts w:ascii="Times New Roman" w:hAnsi="Times New Roman" w:cs="Times New Roman" w:eastAsia="Times New Roman"/>
          <w:color w:val="auto"/>
          <w:spacing w:val="0"/>
          <w:position w:val="0"/>
          <w:sz w:val="24"/>
          <w:shd w:fill="auto" w:val="clear"/>
        </w:rPr>
        <w:t xml:space="preserve">A previsão de quantidade de gêneros alimentícios a serem adquiridos é estimada com base nos cardápios elaborados por nutricionista da SEDUC e executados pelas escolas, anexo III;</w:t>
      </w:r>
    </w:p>
    <w:p>
      <w:pPr>
        <w:spacing w:before="0" w:after="0" w:line="360"/>
        <w:ind w:right="-143" w:left="540" w:hanging="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6.2. No envelope nº 002 deverá conter a Proposta de Preços, ao que se segue:</w:t>
      </w:r>
    </w:p>
    <w:p>
      <w:pPr>
        <w:spacing w:before="0" w:after="0" w:line="360"/>
        <w:ind w:right="-143"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ser formulada em 01 (uma) via, contendo a identificação da associação ou cooperativa, datada, assinada por seu representante legal;</w:t>
      </w:r>
    </w:p>
    <w:p>
      <w:pPr>
        <w:spacing w:before="0" w:after="0" w:line="360"/>
        <w:ind w:right="-143"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discriminação completa dos gêneros alimentícios ofertados, conforme especificações e condições do Anexo II; </w:t>
      </w:r>
    </w:p>
    <w:p>
      <w:pPr>
        <w:spacing w:before="0" w:after="0" w:line="360"/>
        <w:ind w:right="-143"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Preço unitário de cada item (algarismo), devendo ser cotado em Real e com até duas casas decimais após a vírgula (R$ 0,00).</w:t>
      </w:r>
    </w:p>
    <w:p>
      <w:pPr>
        <w:spacing w:before="0" w:after="0" w:line="360"/>
        <w:ind w:right="-143"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143"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7. LOCAL DE ENTREGA E PERIODICIDADE</w:t>
      </w:r>
    </w:p>
    <w:p>
      <w:pPr>
        <w:spacing w:before="0" w:after="0" w:line="360"/>
        <w:ind w:right="-143"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 gêneros alimentícios deverão ser entregues, semanalmente, no </w:t>
      </w:r>
      <w:r>
        <w:rPr>
          <w:rFonts w:ascii="Times New Roman" w:hAnsi="Times New Roman" w:cs="Times New Roman" w:eastAsia="Times New Roman"/>
          <w:color w:val="FF0000"/>
          <w:spacing w:val="0"/>
          <w:position w:val="0"/>
          <w:sz w:val="24"/>
          <w:shd w:fill="auto" w:val="clear"/>
        </w:rPr>
        <w:t xml:space="preserve">AV. TRINDADE S/N CENTRO CAMPESTRE DE GOIÁS</w:t>
      </w:r>
      <w:r>
        <w:rPr>
          <w:rFonts w:ascii="Times New Roman" w:hAnsi="Times New Roman" w:cs="Times New Roman" w:eastAsia="Times New Roman"/>
          <w:color w:val="auto"/>
          <w:spacing w:val="0"/>
          <w:position w:val="0"/>
          <w:sz w:val="24"/>
          <w:shd w:fill="auto" w:val="clear"/>
        </w:rPr>
        <w:t xml:space="preserve">, durante o período </w:t>
      </w:r>
      <w:r>
        <w:rPr>
          <w:rFonts w:ascii="Times New Roman" w:hAnsi="Times New Roman" w:cs="Times New Roman" w:eastAsia="Times New Roman"/>
          <w:color w:val="FF0000"/>
          <w:spacing w:val="0"/>
          <w:position w:val="0"/>
          <w:sz w:val="24"/>
          <w:shd w:fill="auto" w:val="clear"/>
        </w:rPr>
        <w:t xml:space="preserve">18/01/2012 A 30/04/2012</w:t>
      </w:r>
      <w:r>
        <w:rPr>
          <w:rFonts w:ascii="Times New Roman" w:hAnsi="Times New Roman" w:cs="Times New Roman" w:eastAsia="Times New Roman"/>
          <w:color w:val="auto"/>
          <w:spacing w:val="0"/>
          <w:position w:val="0"/>
          <w:sz w:val="24"/>
          <w:shd w:fill="auto" w:val="clear"/>
        </w:rPr>
        <w:t xml:space="preserve">, no horário compreendido entre </w:t>
      </w:r>
      <w:r>
        <w:rPr>
          <w:rFonts w:ascii="Times New Roman" w:hAnsi="Times New Roman" w:cs="Times New Roman" w:eastAsia="Times New Roman"/>
          <w:color w:val="FF0000"/>
          <w:spacing w:val="0"/>
          <w:position w:val="0"/>
          <w:sz w:val="24"/>
          <w:shd w:fill="auto" w:val="clear"/>
        </w:rPr>
        <w:t xml:space="preserve">08h00 AS 12h00 </w:t>
      </w:r>
      <w:r>
        <w:rPr>
          <w:rFonts w:ascii="Times New Roman" w:hAnsi="Times New Roman" w:cs="Times New Roman" w:eastAsia="Times New Roman"/>
          <w:color w:val="auto"/>
          <w:spacing w:val="0"/>
          <w:position w:val="0"/>
          <w:sz w:val="24"/>
          <w:shd w:fill="auto" w:val="clear"/>
        </w:rPr>
        <w:t xml:space="preserve">de acordo com o cardápio, na qual se atestará o seu recebimento.</w:t>
      </w:r>
    </w:p>
    <w:p>
      <w:pPr>
        <w:spacing w:before="0" w:after="0" w:line="360"/>
        <w:ind w:right="-143"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143"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8. PAGAMENTO</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8.1 Os pagamentos dos produtos da Agricultura Familiar ou Empreendedor Familiar Rural habilitado, como consequência do fornecimento para a Alimentação Escolar do Conselho Escolar do </w:t>
      </w:r>
      <w:r>
        <w:rPr>
          <w:rFonts w:ascii="Times New Roman" w:hAnsi="Times New Roman" w:cs="Times New Roman" w:eastAsia="Times New Roman"/>
          <w:color w:val="FF0000"/>
          <w:spacing w:val="0"/>
          <w:position w:val="0"/>
          <w:sz w:val="24"/>
          <w:shd w:fill="auto" w:val="clear"/>
        </w:rPr>
        <w:t xml:space="preserve">COLÉGIO ESTADUAL CASTELO  BRANCO </w:t>
      </w:r>
      <w:r>
        <w:rPr>
          <w:rFonts w:ascii="Times New Roman" w:hAnsi="Times New Roman" w:cs="Times New Roman" w:eastAsia="Times New Roman"/>
          <w:color w:val="auto"/>
          <w:spacing w:val="0"/>
          <w:position w:val="0"/>
          <w:sz w:val="24"/>
          <w:shd w:fill="auto" w:val="clear"/>
        </w:rPr>
        <w:t xml:space="preserve">da Secretaria da Educação do Estado de Goiás, corresponderá ao documento fiscal emitido a cada entrega.</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8.2 Os pagamentos serão efetuados após a última entrega do mês, por cheque nominal, contados da data de atestação do recebimento do produto pelo setor competente vedada a antecipação de pagamento, para cada faturamento;</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8.3 As notas fiscais deverão vir acompanhadas de documento padrão de controle de entregas;</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8.4 A documentação fiscal para fins de pagamento deverá conter o mesmo número de inscrição no Cadastro Nacional de Pessoas Jurídicas – CNPJ indicado no Contrato;</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8.5 O preço de compra será o menor preço apresentado pelos proponentes;</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8.6 O preço de compra dos gêneros alimentícios será o menor preço apresentado pelos proponentes;</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8.7 Serão utilizados para composição do preço de referência: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os preços de Referência praticados no âmbito do Programa de Aquisição de Alimentos – PAA,</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II- média dos preços pagos aos Agricultores Familiares por 3 (três) mercados varejistas, priorizando a feira do produtor da agricultura familiar;</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8.7 O valor pago anualmente a cada agricultor familiar ou empreendedor familiar rural deve respeitar o valor máximo de R$ 9.000,00 (nove mil reais), por declaração de aptidão no PRONAF (DAP)/ano.</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9. CLASSIFICAÇÃO DAS PROPOSTAS</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9.1 </w:t>
      </w:r>
      <w:r>
        <w:rPr>
          <w:rFonts w:ascii="Times New Roman" w:hAnsi="Times New Roman" w:cs="Times New Roman" w:eastAsia="Times New Roman"/>
          <w:color w:val="auto"/>
          <w:spacing w:val="0"/>
          <w:position w:val="0"/>
          <w:sz w:val="24"/>
          <w:shd w:fill="auto" w:val="clear"/>
        </w:rPr>
        <w:t xml:space="preserve">Serão consideradas as propostas classificadas, que preencham as condições fixadas nesta Chamada Pública;</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9.2 </w:t>
      </w:r>
      <w:r>
        <w:rPr>
          <w:rFonts w:ascii="Times New Roman" w:hAnsi="Times New Roman" w:cs="Times New Roman" w:eastAsia="Times New Roman"/>
          <w:color w:val="auto"/>
          <w:spacing w:val="0"/>
          <w:position w:val="0"/>
          <w:sz w:val="24"/>
          <w:shd w:fill="auto" w:val="clear"/>
        </w:rPr>
        <w:t xml:space="preserve">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9.3 </w:t>
      </w:r>
      <w:r>
        <w:rPr>
          <w:rFonts w:ascii="Times New Roman" w:hAnsi="Times New Roman" w:cs="Times New Roman" w:eastAsia="Times New Roman"/>
          <w:color w:val="auto"/>
          <w:spacing w:val="0"/>
          <w:position w:val="0"/>
          <w:sz w:val="24"/>
          <w:shd w:fill="auto" w:val="clear"/>
        </w:rPr>
        <w:t xml:space="preserve">O Conselho Escolar da Unidade Escolar ou a Comissão de Avaliação Alimentícia designada pela </w:t>
      </w:r>
      <w:r>
        <w:rPr>
          <w:rFonts w:ascii="Times New Roman" w:hAnsi="Times New Roman" w:cs="Times New Roman" w:eastAsia="Times New Roman"/>
          <w:b/>
          <w:color w:val="auto"/>
          <w:spacing w:val="0"/>
          <w:position w:val="0"/>
          <w:sz w:val="24"/>
          <w:shd w:fill="auto" w:val="clear"/>
        </w:rPr>
        <w:t xml:space="preserve">Portaria (caso tenha) </w:t>
      </w:r>
      <w:r>
        <w:rPr>
          <w:rFonts w:ascii="Times New Roman" w:hAnsi="Times New Roman" w:cs="Times New Roman" w:eastAsia="Times New Roman"/>
          <w:color w:val="auto"/>
          <w:spacing w:val="0"/>
          <w:position w:val="0"/>
          <w:sz w:val="24"/>
          <w:shd w:fill="auto" w:val="clear"/>
        </w:rPr>
        <w:t xml:space="preserve">classificará as propostas considerando o preço dos produtos embalados individualmente, de acordo com a solicitação do Conselho Escolar do (NOME DA UNIDADE ESCOLAR), do frete para transporte e distribuição ponto a ponto. O Conselho escolar do (NOME DA UNIDADE ESCOLAR) dará preferência para os produtos orgânicos ou agro ecológico, respeitando-se as orientações da resolução 38/FNDE;</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9.4 </w:t>
      </w:r>
      <w:r>
        <w:rPr>
          <w:rFonts w:ascii="Times New Roman" w:hAnsi="Times New Roman" w:cs="Times New Roman" w:eastAsia="Times New Roman"/>
          <w:color w:val="auto"/>
          <w:spacing w:val="0"/>
          <w:position w:val="0"/>
          <w:sz w:val="24"/>
          <w:shd w:fill="auto" w:val="clear"/>
        </w:rPr>
        <w:t xml:space="preserve">Após a classificação, o critério final de julgamento será definido pela Comissão de Avaliação Alimentícia designada pela </w:t>
      </w:r>
      <w:r>
        <w:rPr>
          <w:rFonts w:ascii="Times New Roman" w:hAnsi="Times New Roman" w:cs="Times New Roman" w:eastAsia="Times New Roman"/>
          <w:b/>
          <w:color w:val="auto"/>
          <w:spacing w:val="0"/>
          <w:position w:val="0"/>
          <w:sz w:val="24"/>
          <w:shd w:fill="auto" w:val="clear"/>
        </w:rPr>
        <w:t xml:space="preserve">Portaria (caso tenha)</w:t>
      </w:r>
      <w:r>
        <w:rPr>
          <w:rFonts w:ascii="Times New Roman" w:hAnsi="Times New Roman" w:cs="Times New Roman" w:eastAsia="Times New Roman"/>
          <w:color w:val="auto"/>
          <w:spacing w:val="0"/>
          <w:position w:val="0"/>
          <w:sz w:val="24"/>
          <w:shd w:fill="auto" w:val="clear"/>
        </w:rPr>
        <w:t xml:space="preserve">, que poderá ainda propor aos participantes que se estabeleçam um acordo para o fornecimento, em benefício da implantação do programa com a distribuição descentralizada dos recursos e atendimento na totalidade da estimativa de aquisição anual.</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9.5 </w:t>
      </w:r>
      <w:r>
        <w:rPr>
          <w:rFonts w:ascii="Times New Roman" w:hAnsi="Times New Roman" w:cs="Times New Roman" w:eastAsia="Times New Roman"/>
          <w:color w:val="auto"/>
          <w:spacing w:val="0"/>
          <w:position w:val="0"/>
          <w:sz w:val="24"/>
          <w:shd w:fill="auto" w:val="clear"/>
        </w:rPr>
        <w:t xml:space="preserve">Em atenção à legislação que estabelece o teto máximo de R$ 9.000,00 (nove mil reais) será considerado o produto na embalagem original no atacado.</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9.6 </w:t>
      </w:r>
      <w:r>
        <w:rPr>
          <w:rFonts w:ascii="Times New Roman" w:hAnsi="Times New Roman" w:cs="Times New Roman" w:eastAsia="Times New Roman"/>
          <w:color w:val="auto"/>
          <w:spacing w:val="0"/>
          <w:position w:val="0"/>
          <w:sz w:val="24"/>
          <w:shd w:fill="auto" w:val="clear"/>
        </w:rPr>
        <w:t xml:space="preserve">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10. RESULTADO</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Conselho Escolar, ou a Comissão de Avaliação Alimentícia designada pela </w:t>
      </w:r>
      <w:r>
        <w:rPr>
          <w:rFonts w:ascii="Times New Roman" w:hAnsi="Times New Roman" w:cs="Times New Roman" w:eastAsia="Times New Roman"/>
          <w:b/>
          <w:color w:val="auto"/>
          <w:spacing w:val="0"/>
          <w:position w:val="0"/>
          <w:sz w:val="24"/>
          <w:shd w:fill="auto" w:val="clear"/>
        </w:rPr>
        <w:t xml:space="preserve">Portaria (caso tenha) </w:t>
      </w:r>
      <w:r>
        <w:rPr>
          <w:rFonts w:ascii="Times New Roman" w:hAnsi="Times New Roman" w:cs="Times New Roman" w:eastAsia="Times New Roman"/>
          <w:color w:val="auto"/>
          <w:spacing w:val="0"/>
          <w:position w:val="0"/>
          <w:sz w:val="24"/>
          <w:shd w:fill="auto" w:val="clear"/>
        </w:rPr>
        <w:t xml:space="preserve">após o julgamento e classificação, dará ampla publicidade ao resultado da presente Chamada Pública nº  004/2011. Caso não tenha recebido nenhum Projeto de Venda, deverá ser realizada outra Chamada Pública, ampliando a divulgação para o âmbito da região, território rural, estado e país.</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11. CONTRATAÇÃO</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11.1 </w:t>
      </w:r>
      <w:r>
        <w:rPr>
          <w:rFonts w:ascii="Times New Roman" w:hAnsi="Times New Roman" w:cs="Times New Roman" w:eastAsia="Times New Roman"/>
          <w:color w:val="auto"/>
          <w:spacing w:val="0"/>
          <w:position w:val="0"/>
          <w:sz w:val="24"/>
          <w:shd w:fill="auto" w:val="clear"/>
        </w:rPr>
        <w:t xml:space="preserve">O Proponente Vencedor deverá assinar o Contrato de Compra e Venda de gêneros alimentícios, conforme Minuta de Contrato Anexo IV, atendendo aos termos do anexo IV da Resolução/CD/FNDE Nº 38, DE 16 DE JULHO DE 2009.</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11.2 </w:t>
      </w:r>
      <w:r>
        <w:rPr>
          <w:rFonts w:ascii="Times New Roman" w:hAnsi="Times New Roman" w:cs="Times New Roman" w:eastAsia="Times New Roman"/>
          <w:color w:val="auto"/>
          <w:spacing w:val="0"/>
          <w:position w:val="0"/>
          <w:sz w:val="24"/>
          <w:shd w:fill="auto" w:val="clear"/>
        </w:rPr>
        <w:t xml:space="preserve">O prazo de vigência do contrato será de 02 (dois) meses, período este compreendido de </w:t>
      </w:r>
      <w:r>
        <w:rPr>
          <w:rFonts w:ascii="Times New Roman" w:hAnsi="Times New Roman" w:cs="Times New Roman" w:eastAsia="Times New Roman"/>
          <w:color w:val="FF0000"/>
          <w:spacing w:val="0"/>
          <w:position w:val="0"/>
          <w:sz w:val="24"/>
          <w:shd w:fill="auto" w:val="clear"/>
        </w:rPr>
        <w:t xml:space="preserve">18/01/2012 A 30/04/2012.</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12. RESPONSABILIDADE DOS FORNECEDORES</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12.1 </w:t>
      </w:r>
      <w:r>
        <w:rPr>
          <w:rFonts w:ascii="Times New Roman" w:hAnsi="Times New Roman" w:cs="Times New Roman" w:eastAsia="Times New Roman"/>
          <w:color w:val="auto"/>
          <w:spacing w:val="0"/>
          <w:position w:val="0"/>
          <w:sz w:val="24"/>
          <w:shd w:fill="auto" w:val="clear"/>
        </w:rPr>
        <w:t xml:space="preserve">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12.2 </w:t>
      </w:r>
      <w:r>
        <w:rPr>
          <w:rFonts w:ascii="Times New Roman" w:hAnsi="Times New Roman" w:cs="Times New Roman" w:eastAsia="Times New Roman"/>
          <w:color w:val="auto"/>
          <w:spacing w:val="0"/>
          <w:position w:val="0"/>
          <w:sz w:val="24"/>
          <w:shd w:fill="auto" w:val="clea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12.3 </w:t>
      </w:r>
      <w:r>
        <w:rPr>
          <w:rFonts w:ascii="Times New Roman" w:hAnsi="Times New Roman" w:cs="Times New Roman" w:eastAsia="Times New Roman"/>
          <w:color w:val="auto"/>
          <w:spacing w:val="0"/>
          <w:position w:val="0"/>
          <w:sz w:val="24"/>
          <w:shd w:fill="auto" w:val="clear"/>
        </w:rPr>
        <w:t xml:space="preserve">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12.4 </w:t>
      </w:r>
      <w:r>
        <w:rPr>
          <w:rFonts w:ascii="Times New Roman" w:hAnsi="Times New Roman" w:cs="Times New Roman" w:eastAsia="Times New Roman"/>
          <w:color w:val="auto"/>
          <w:spacing w:val="0"/>
          <w:position w:val="0"/>
          <w:sz w:val="24"/>
          <w:shd w:fill="auto" w:val="clear"/>
        </w:rP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12.4.1 </w:t>
      </w:r>
      <w:r>
        <w:rPr>
          <w:rFonts w:ascii="Times New Roman" w:hAnsi="Times New Roman" w:cs="Times New Roman" w:eastAsia="Times New Roman"/>
          <w:color w:val="auto"/>
          <w:spacing w:val="0"/>
          <w:position w:val="0"/>
          <w:sz w:val="24"/>
          <w:shd w:fill="auto" w:val="clear"/>
        </w:rPr>
        <w:t xml:space="preserve">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12.5 </w:t>
      </w:r>
      <w:r>
        <w:rPr>
          <w:rFonts w:ascii="Times New Roman" w:hAnsi="Times New Roman" w:cs="Times New Roman" w:eastAsia="Times New Roman"/>
          <w:color w:val="auto"/>
          <w:spacing w:val="0"/>
          <w:position w:val="0"/>
          <w:sz w:val="24"/>
          <w:shd w:fill="auto" w:val="clear"/>
        </w:rPr>
        <w:t xml:space="preserve">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12.6 O Conselho Escolar da Unidade Escolar</w:t>
      </w:r>
      <w:r>
        <w:rPr>
          <w:rFonts w:ascii="Times New Roman" w:hAnsi="Times New Roman" w:cs="Times New Roman" w:eastAsia="Times New Roman"/>
          <w:color w:val="auto"/>
          <w:spacing w:val="0"/>
          <w:position w:val="0"/>
          <w:sz w:val="24"/>
          <w:shd w:fill="auto" w:val="clear"/>
        </w:rPr>
        <w:t xml:space="preserve">, reserva-se no direito, também de subtrair, substituir ou incluir novos pontos de entrega, durante a vigência do contrato, de acordo com sua real necessidade.</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12.7 </w:t>
      </w:r>
      <w:r>
        <w:rPr>
          <w:rFonts w:ascii="Times New Roman" w:hAnsi="Times New Roman" w:cs="Times New Roman" w:eastAsia="Times New Roman"/>
          <w:color w:val="auto"/>
          <w:spacing w:val="0"/>
          <w:position w:val="0"/>
          <w:sz w:val="24"/>
          <w:shd w:fill="auto" w:val="clear"/>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12.8 </w:t>
      </w:r>
      <w:r>
        <w:rPr>
          <w:rFonts w:ascii="Times New Roman" w:hAnsi="Times New Roman" w:cs="Times New Roman" w:eastAsia="Times New Roman"/>
          <w:color w:val="auto"/>
          <w:spacing w:val="0"/>
          <w:position w:val="0"/>
          <w:sz w:val="24"/>
          <w:shd w:fill="auto" w:val="clear"/>
        </w:rPr>
        <w:t xml:space="preserve">O período de fornecimento desta Chamada Pública se dará de </w:t>
      </w:r>
      <w:r>
        <w:rPr>
          <w:rFonts w:ascii="Times New Roman" w:hAnsi="Times New Roman" w:cs="Times New Roman" w:eastAsia="Times New Roman"/>
          <w:color w:val="FF0000"/>
          <w:spacing w:val="0"/>
          <w:position w:val="0"/>
          <w:sz w:val="24"/>
          <w:shd w:fill="auto" w:val="clear"/>
        </w:rPr>
        <w:t xml:space="preserve">18/01/2012 A 30/04/2012.</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13. FATOS SUPERVENIENTES</w:t>
      </w:r>
    </w:p>
    <w:p>
      <w:pPr>
        <w:spacing w:before="0" w:after="0" w:line="240"/>
        <w:ind w:right="0" w:left="0" w:firstLine="0"/>
        <w:jc w:val="both"/>
        <w:rPr>
          <w:rFonts w:ascii="Times New Roman" w:hAnsi="Times New Roman" w:cs="Times New Roman" w:eastAsia="Times New Roman"/>
          <w:b/>
          <w:color w:val="auto"/>
          <w:spacing w:val="0"/>
          <w:position w:val="0"/>
          <w:sz w:val="20"/>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13.1 </w:t>
      </w:r>
      <w:r>
        <w:rPr>
          <w:rFonts w:ascii="Times New Roman" w:hAnsi="Times New Roman" w:cs="Times New Roman" w:eastAsia="Times New Roman"/>
          <w:color w:val="auto"/>
          <w:spacing w:val="0"/>
          <w:position w:val="0"/>
          <w:sz w:val="24"/>
          <w:shd w:fill="auto" w:val="clea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rFonts w:ascii="Times New Roman" w:hAnsi="Times New Roman" w:cs="Times New Roman" w:eastAsia="Times New Roman"/>
          <w:color w:val="FF0000"/>
          <w:spacing w:val="0"/>
          <w:position w:val="0"/>
          <w:sz w:val="24"/>
          <w:shd w:fill="auto" w:val="clear"/>
        </w:rPr>
        <w:t xml:space="preserve">COLÉGIO ESTADUAL CASTELO BRANCO</w:t>
      </w:r>
      <w:r>
        <w:rPr>
          <w:rFonts w:ascii="Times New Roman" w:hAnsi="Times New Roman" w:cs="Times New Roman" w:eastAsia="Times New Roman"/>
          <w:color w:val="auto"/>
          <w:spacing w:val="0"/>
          <w:position w:val="0"/>
          <w:sz w:val="24"/>
          <w:shd w:fill="auto" w:val="clear"/>
        </w:rPr>
        <w:t xml:space="preserve"> ou da Comissão de Avaliação Alimentícia designada pela </w:t>
      </w:r>
      <w:r>
        <w:rPr>
          <w:rFonts w:ascii="Times New Roman" w:hAnsi="Times New Roman" w:cs="Times New Roman" w:eastAsia="Times New Roman"/>
          <w:b/>
          <w:color w:val="auto"/>
          <w:spacing w:val="0"/>
          <w:position w:val="0"/>
          <w:sz w:val="24"/>
          <w:shd w:fill="auto" w:val="clear"/>
        </w:rPr>
        <w:t xml:space="preserve">Portaria (se for o caso).</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Adiamento do processo;</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revogação desta Chamada ou sua modificação no todo ou em parte.</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14. DISPOSIÇÕES FINAIS</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participação de qualquer proponente Vendedor no processo implica a aceitação tácita, incondicional, irrevogável e irretratável dos seus termos, regras e condições, assim como dos seus anexos.</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Caberá ao </w:t>
      </w:r>
      <w:r>
        <w:rPr>
          <w:rFonts w:ascii="Times New Roman" w:hAnsi="Times New Roman" w:cs="Times New Roman" w:eastAsia="Times New Roman"/>
          <w:b/>
          <w:color w:val="auto"/>
          <w:spacing w:val="0"/>
          <w:position w:val="0"/>
          <w:sz w:val="24"/>
          <w:shd w:fill="auto" w:val="clear"/>
        </w:rPr>
        <w:t xml:space="preserve">CONSELHO ESCOLAR</w:t>
      </w:r>
      <w:r>
        <w:rPr>
          <w:rFonts w:ascii="Times New Roman" w:hAnsi="Times New Roman" w:cs="Times New Roman" w:eastAsia="Times New Roman"/>
          <w:color w:val="auto"/>
          <w:spacing w:val="0"/>
          <w:position w:val="0"/>
          <w:sz w:val="24"/>
          <w:shd w:fill="auto" w:val="clear"/>
        </w:rPr>
        <w:t xml:space="preserve"> providenciar, por sua conta, a publicação do Instrumento de Convocação da Chamada Pública e de seus aditamentos, na imprensa oficial e no prazo legal.</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 interessados poderão dirimir quaisquer dúvidas por meio do Telefone </w:t>
      </w:r>
      <w:r>
        <w:rPr>
          <w:rFonts w:ascii="Times New Roman" w:hAnsi="Times New Roman" w:cs="Times New Roman" w:eastAsia="Times New Roman"/>
          <w:color w:val="FF0000"/>
          <w:spacing w:val="0"/>
          <w:position w:val="0"/>
          <w:sz w:val="24"/>
          <w:shd w:fill="auto" w:val="clear"/>
        </w:rPr>
        <w:t xml:space="preserve">(62) 35571231</w:t>
      </w:r>
      <w:r>
        <w:rPr>
          <w:rFonts w:ascii="Times New Roman" w:hAnsi="Times New Roman" w:cs="Times New Roman" w:eastAsia="Times New Roman"/>
          <w:color w:val="auto"/>
          <w:spacing w:val="0"/>
          <w:position w:val="0"/>
          <w:sz w:val="24"/>
          <w:shd w:fill="auto" w:val="clear"/>
        </w:rPr>
        <w:t xml:space="preserve">, Conselho Escolar do </w:t>
      </w:r>
      <w:r>
        <w:rPr>
          <w:rFonts w:ascii="Times New Roman" w:hAnsi="Times New Roman" w:cs="Times New Roman" w:eastAsia="Times New Roman"/>
          <w:color w:val="FF0000"/>
          <w:spacing w:val="0"/>
          <w:position w:val="0"/>
          <w:sz w:val="24"/>
          <w:shd w:fill="auto" w:val="clear"/>
        </w:rPr>
        <w:t xml:space="preserve">COLÉGIO ESTADUAL CASTELO BRANCO.</w:t>
      </w:r>
    </w:p>
    <w:p>
      <w:pPr>
        <w:spacing w:before="0" w:after="0" w:line="3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15. FORO</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presente Chamada Pública é regulada pelas leis brasileiras, sendo exclusivamente competente o Foro da Comarca de Goiânia, Capital do Estado de Goiás, para conhecer e julgar quaisquer questões dela decorrentes, excluído qualquer outro.</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ANEXO I – RELAÇÃO DAS ESCOLAS DO ESTADO</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ANEXO II – RELAÇÃO DE GÊNEROS (ESTIMATIVA DE CONSUMO) - IDENTIFICAÇÃO E CLASSIFICAÇÃO DOS PRODUTOS</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ANEXO III- MODELO DE PROJETO DE VENDA CONFORME ANEXO V DA RESOLUÇÃO Nº 38 DO FNDE, DE 16/07/2009.</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ANEXO IV – MINUTA DO CONTRATO</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FF0000"/>
          <w:spacing w:val="0"/>
          <w:position w:val="0"/>
          <w:sz w:val="24"/>
          <w:shd w:fill="auto" w:val="clear"/>
        </w:rPr>
        <w:t xml:space="preserve">REINALDO ANTÔNIO DE SOUZA</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Presidente do Conselho da Unidade Escolar </w:t>
      </w:r>
      <w:r>
        <w:rPr>
          <w:rFonts w:ascii="Times New Roman" w:hAnsi="Times New Roman" w:cs="Times New Roman" w:eastAsia="Times New Roman"/>
          <w:color w:val="FF0000"/>
          <w:spacing w:val="0"/>
          <w:position w:val="0"/>
          <w:sz w:val="24"/>
          <w:shd w:fill="auto" w:val="clear"/>
        </w:rPr>
        <w:t xml:space="preserve">COLÉGIO ESTADUAL CASTELO   BRANCO</w:t>
      </w:r>
    </w:p>
    <w:p>
      <w:pPr>
        <w:spacing w:before="0" w:after="0" w:line="36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SECRETARIA DA EDUCAÇÃO</w:t>
      </w:r>
    </w:p>
    <w:p>
      <w:pPr>
        <w:tabs>
          <w:tab w:val="left" w:pos="1701" w:leader="none"/>
          <w:tab w:val="left" w:pos="9639" w:leader="none"/>
        </w:tabs>
        <w:spacing w:before="0" w:after="0" w:line="360"/>
        <w:ind w:right="-81"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ANEXO I</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b/>
          <w:color w:val="auto"/>
          <w:spacing w:val="0"/>
          <w:position w:val="0"/>
          <w:sz w:val="24"/>
          <w:shd w:fill="auto" w:val="clear"/>
        </w:rPr>
        <w:t xml:space="preserve">RELAÇÃO DAS ESCOLAS DO ESTADO</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ANEXO II – RELAÇÃO DE GÊNEROS ALIMENTÍCIOS (ESTIMATIVA DE CONSUMO) - IDENTIFICAÇÃO E CLASSIFICAÇÃO DOS PRODUTOS</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ESPECIFICAÇÕES TÉCNICAS DOS ALIMENTOS A SEREM ADQUIRIDOS PELO PROGRAMA ESTADUAL DE ALIMENTAÇÃO ESCOLAR</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14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 acordo com a Legislação brasileira para Rotulagem Geral de Alimentos e Bebidas Embalados, (RDC 259/02 – ANVISA/MS) as informações abaixo são obrigatórias nas embalagens de alimentos:</w:t>
      </w:r>
    </w:p>
    <w:p>
      <w:pPr>
        <w:numPr>
          <w:ilvl w:val="0"/>
          <w:numId w:val="23"/>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Denominação de venda do alimento;</w:t>
      </w:r>
    </w:p>
    <w:p>
      <w:pPr>
        <w:numPr>
          <w:ilvl w:val="0"/>
          <w:numId w:val="23"/>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Lista de ingredientes;</w:t>
      </w:r>
    </w:p>
    <w:p>
      <w:pPr>
        <w:numPr>
          <w:ilvl w:val="0"/>
          <w:numId w:val="23"/>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Conteúdos líquidos</w:t>
      </w:r>
    </w:p>
    <w:p>
      <w:pPr>
        <w:numPr>
          <w:ilvl w:val="0"/>
          <w:numId w:val="23"/>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Identificação do lote;</w:t>
      </w:r>
    </w:p>
    <w:p>
      <w:pPr>
        <w:numPr>
          <w:ilvl w:val="0"/>
          <w:numId w:val="23"/>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Prazo de validade;</w:t>
      </w:r>
    </w:p>
    <w:p>
      <w:pPr>
        <w:numPr>
          <w:ilvl w:val="0"/>
          <w:numId w:val="23"/>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Instruções sobre o preparo e uso do alimento, quando necessário;</w:t>
      </w:r>
    </w:p>
    <w:p>
      <w:pPr>
        <w:numPr>
          <w:ilvl w:val="0"/>
          <w:numId w:val="23"/>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Registro no órgão competente;</w:t>
      </w:r>
    </w:p>
    <w:p>
      <w:pPr>
        <w:numPr>
          <w:ilvl w:val="0"/>
          <w:numId w:val="23"/>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Informação nutricional;</w:t>
      </w:r>
    </w:p>
    <w:p>
      <w:pPr>
        <w:numPr>
          <w:ilvl w:val="0"/>
          <w:numId w:val="23"/>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 produtos alimentícios a base de farinha de trigo, aveia, cevada e centeio devem constar também a informação: </w:t>
      </w:r>
      <w:r>
        <w:rPr>
          <w:rFonts w:ascii="Times New Roman" w:hAnsi="Times New Roman" w:cs="Times New Roman" w:eastAsia="Times New Roman"/>
          <w:b/>
          <w:color w:val="auto"/>
          <w:spacing w:val="0"/>
          <w:position w:val="0"/>
          <w:sz w:val="24"/>
          <w:shd w:fill="auto" w:val="clear"/>
        </w:rPr>
        <w:t xml:space="preserve">Contém glúten.</w:t>
      </w:r>
    </w:p>
    <w:p>
      <w:pPr>
        <w:spacing w:before="0" w:after="0" w:line="240"/>
        <w:ind w:right="0" w:left="36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Obs. </w:t>
      </w:r>
      <w:r>
        <w:rPr>
          <w:rFonts w:ascii="Times New Roman" w:hAnsi="Times New Roman" w:cs="Times New Roman" w:eastAsia="Times New Roman"/>
          <w:color w:val="auto"/>
          <w:spacing w:val="0"/>
          <w:position w:val="0"/>
          <w:sz w:val="24"/>
          <w:shd w:fill="auto" w:val="clear"/>
        </w:rPr>
        <w:t xml:space="preserve">A declaração do prazo de validade </w:t>
      </w:r>
      <w:r>
        <w:rPr>
          <w:rFonts w:ascii="Times New Roman" w:hAnsi="Times New Roman" w:cs="Times New Roman" w:eastAsia="Times New Roman"/>
          <w:b/>
          <w:color w:val="auto"/>
          <w:spacing w:val="0"/>
          <w:position w:val="0"/>
          <w:sz w:val="24"/>
          <w:shd w:fill="auto" w:val="clear"/>
        </w:rPr>
        <w:t xml:space="preserve">não </w:t>
      </w:r>
      <w:r>
        <w:rPr>
          <w:rFonts w:ascii="Times New Roman" w:hAnsi="Times New Roman" w:cs="Times New Roman" w:eastAsia="Times New Roman"/>
          <w:color w:val="auto"/>
          <w:spacing w:val="0"/>
          <w:position w:val="0"/>
          <w:sz w:val="24"/>
          <w:shd w:fill="auto" w:val="clear"/>
        </w:rPr>
        <w:t xml:space="preserve">é exigida para:</w:t>
      </w:r>
    </w:p>
    <w:p>
      <w:pPr>
        <w:numPr>
          <w:ilvl w:val="0"/>
          <w:numId w:val="25"/>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Frutas e hortaliças frescas;</w:t>
      </w:r>
    </w:p>
    <w:p>
      <w:pPr>
        <w:numPr>
          <w:ilvl w:val="0"/>
          <w:numId w:val="25"/>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Vinagre;</w:t>
      </w:r>
    </w:p>
    <w:p>
      <w:pPr>
        <w:numPr>
          <w:ilvl w:val="0"/>
          <w:numId w:val="25"/>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Açúcar;</w:t>
      </w:r>
    </w:p>
    <w:p>
      <w:pPr>
        <w:numPr>
          <w:ilvl w:val="0"/>
          <w:numId w:val="25"/>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Sal.</w:t>
      </w:r>
    </w:p>
    <w:p>
      <w:pPr>
        <w:spacing w:before="0" w:after="0" w:line="240"/>
        <w:ind w:right="0" w:left="36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14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Órgãos responsáveis pela legislação de alimentos: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ANVISA (Agência Nacional de Vigilância Sanitária)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MAPA (Ministério da Agricultura, Pecuária e Abastecimento)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INMETRO (Instituto de Metrologia)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 HORTIFRUTIGRANJEIROS</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1440"/>
        <w:jc w:val="both"/>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rFonts w:ascii="Times New Roman" w:hAnsi="Times New Roman" w:cs="Times New Roman" w:eastAsia="Times New Roman"/>
          <w:b/>
          <w:i/>
          <w:color w:val="auto"/>
          <w:spacing w:val="0"/>
          <w:position w:val="0"/>
          <w:sz w:val="24"/>
          <w:shd w:fill="auto" w:val="clear"/>
        </w:rPr>
        <w:t xml:space="preserve">in natura, </w:t>
      </w:r>
      <w:r>
        <w:rPr>
          <w:rFonts w:ascii="Times New Roman" w:hAnsi="Times New Roman" w:cs="Times New Roman" w:eastAsia="Times New Roman"/>
          <w:color w:val="auto"/>
          <w:spacing w:val="0"/>
          <w:position w:val="0"/>
          <w:sz w:val="24"/>
          <w:shd w:fill="auto" w:val="clea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r>
        <w:rPr>
          <w:rFonts w:ascii="Times New Roman" w:hAnsi="Times New Roman" w:cs="Times New Roman" w:eastAsia="Times New Roman"/>
          <w:color w:val="FF0000"/>
          <w:spacing w:val="0"/>
          <w:position w:val="0"/>
          <w:sz w:val="24"/>
          <w:shd w:fill="auto" w:val="clear"/>
        </w:rPr>
        <w:t xml:space="preserve">(OS ITENS ABAIXO RELACIONADOS CONSTAM APENAS COMO EXEMPLO, DEVENDO CADA UNIDADE ESCOLAR ADEQUAR-SE A SUA REALIDADE E ÀS SUAS NECESSIDADES)</w:t>
      </w:r>
    </w:p>
    <w:p>
      <w:pPr>
        <w:spacing w:before="0" w:after="0" w:line="240"/>
        <w:ind w:right="0" w:left="0" w:firstLine="1440"/>
        <w:jc w:val="both"/>
        <w:rPr>
          <w:rFonts w:ascii="Times New Roman" w:hAnsi="Times New Roman" w:cs="Times New Roman" w:eastAsia="Times New Roman"/>
          <w:color w:val="auto"/>
          <w:spacing w:val="0"/>
          <w:position w:val="0"/>
          <w:sz w:val="24"/>
          <w:shd w:fill="auto" w:val="clear"/>
        </w:rPr>
      </w:pPr>
    </w:p>
    <w:tbl>
      <w:tblPr/>
      <w:tblGrid>
        <w:gridCol w:w="2925"/>
        <w:gridCol w:w="1973"/>
        <w:gridCol w:w="3822"/>
      </w:tblGrid>
      <w:tr>
        <w:trPr>
          <w:trHeight w:val="1" w:hRule="atLeast"/>
          <w:jc w:val="left"/>
        </w:trPr>
        <w:tc>
          <w:tcPr>
            <w:tcW w:w="292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ALIMENTOS</w:t>
            </w:r>
          </w:p>
        </w:tc>
        <w:tc>
          <w:tcPr>
            <w:tcW w:w="1973"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UNIDADE</w:t>
            </w:r>
          </w:p>
        </w:tc>
        <w:tc>
          <w:tcPr>
            <w:tcW w:w="3822"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VARIEDADES</w:t>
            </w:r>
          </w:p>
        </w:tc>
      </w:tr>
      <w:tr>
        <w:trPr>
          <w:trHeight w:val="1" w:hRule="atLeast"/>
          <w:jc w:val="left"/>
        </w:trPr>
        <w:tc>
          <w:tcPr>
            <w:tcW w:w="292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Abacaxi</w:t>
            </w:r>
          </w:p>
        </w:tc>
        <w:tc>
          <w:tcPr>
            <w:tcW w:w="1973"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Kg/Un</w:t>
            </w:r>
          </w:p>
        </w:tc>
        <w:tc>
          <w:tcPr>
            <w:tcW w:w="3822"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Havaí ou pérola</w:t>
            </w:r>
          </w:p>
        </w:tc>
      </w:tr>
      <w:tr>
        <w:trPr>
          <w:trHeight w:val="1" w:hRule="atLeast"/>
          <w:jc w:val="left"/>
        </w:trPr>
        <w:tc>
          <w:tcPr>
            <w:tcW w:w="292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Banana</w:t>
            </w:r>
          </w:p>
        </w:tc>
        <w:tc>
          <w:tcPr>
            <w:tcW w:w="1973"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Kg</w:t>
            </w:r>
          </w:p>
        </w:tc>
        <w:tc>
          <w:tcPr>
            <w:tcW w:w="3822"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Madura; nanica, maçã, prata, da terra</w:t>
            </w:r>
          </w:p>
        </w:tc>
      </w:tr>
      <w:tr>
        <w:trPr>
          <w:trHeight w:val="1" w:hRule="atLeast"/>
          <w:jc w:val="left"/>
        </w:trPr>
        <w:tc>
          <w:tcPr>
            <w:tcW w:w="292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Laranja</w:t>
            </w:r>
          </w:p>
        </w:tc>
        <w:tc>
          <w:tcPr>
            <w:tcW w:w="1973"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Kg</w:t>
            </w:r>
          </w:p>
        </w:tc>
        <w:tc>
          <w:tcPr>
            <w:tcW w:w="3822"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Pêra</w:t>
            </w:r>
          </w:p>
        </w:tc>
      </w:tr>
      <w:tr>
        <w:trPr>
          <w:trHeight w:val="1" w:hRule="atLeast"/>
          <w:jc w:val="left"/>
        </w:trPr>
        <w:tc>
          <w:tcPr>
            <w:tcW w:w="292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Maçã</w:t>
            </w:r>
          </w:p>
        </w:tc>
        <w:tc>
          <w:tcPr>
            <w:tcW w:w="1973"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Kg</w:t>
            </w:r>
          </w:p>
        </w:tc>
        <w:tc>
          <w:tcPr>
            <w:tcW w:w="3822"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Fuji ou gala, nacional</w:t>
            </w:r>
          </w:p>
        </w:tc>
      </w:tr>
      <w:tr>
        <w:trPr>
          <w:trHeight w:val="1" w:hRule="atLeast"/>
          <w:jc w:val="left"/>
        </w:trPr>
        <w:tc>
          <w:tcPr>
            <w:tcW w:w="292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Mamão</w:t>
            </w:r>
          </w:p>
        </w:tc>
        <w:tc>
          <w:tcPr>
            <w:tcW w:w="1973"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Kg</w:t>
            </w:r>
          </w:p>
        </w:tc>
        <w:tc>
          <w:tcPr>
            <w:tcW w:w="3822"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Formosa</w:t>
            </w:r>
          </w:p>
        </w:tc>
      </w:tr>
      <w:tr>
        <w:trPr>
          <w:trHeight w:val="1" w:hRule="atLeast"/>
          <w:jc w:val="left"/>
        </w:trPr>
        <w:tc>
          <w:tcPr>
            <w:tcW w:w="292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Melancia</w:t>
            </w:r>
          </w:p>
        </w:tc>
        <w:tc>
          <w:tcPr>
            <w:tcW w:w="1973"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Kg</w:t>
            </w:r>
          </w:p>
        </w:tc>
        <w:tc>
          <w:tcPr>
            <w:tcW w:w="3822"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Peso entre 6 a 10 Kg</w:t>
            </w:r>
          </w:p>
        </w:tc>
      </w:tr>
      <w:tr>
        <w:trPr>
          <w:trHeight w:val="1" w:hRule="atLeast"/>
          <w:jc w:val="left"/>
        </w:trPr>
        <w:tc>
          <w:tcPr>
            <w:tcW w:w="292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Abóbora</w:t>
            </w:r>
          </w:p>
        </w:tc>
        <w:tc>
          <w:tcPr>
            <w:tcW w:w="1973"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Kg</w:t>
            </w:r>
          </w:p>
        </w:tc>
        <w:tc>
          <w:tcPr>
            <w:tcW w:w="3822"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Madura; moranga, cabotiá, paulista</w:t>
            </w:r>
          </w:p>
        </w:tc>
      </w:tr>
      <w:tr>
        <w:trPr>
          <w:trHeight w:val="1" w:hRule="atLeast"/>
          <w:jc w:val="left"/>
        </w:trPr>
        <w:tc>
          <w:tcPr>
            <w:tcW w:w="292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Alface </w:t>
            </w:r>
          </w:p>
        </w:tc>
        <w:tc>
          <w:tcPr>
            <w:tcW w:w="1973"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Mç</w:t>
            </w:r>
          </w:p>
        </w:tc>
        <w:tc>
          <w:tcPr>
            <w:tcW w:w="3822"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Lisa</w:t>
            </w:r>
          </w:p>
        </w:tc>
      </w:tr>
      <w:tr>
        <w:trPr>
          <w:trHeight w:val="1" w:hRule="atLeast"/>
          <w:jc w:val="left"/>
        </w:trPr>
        <w:tc>
          <w:tcPr>
            <w:tcW w:w="292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Couve</w:t>
            </w:r>
          </w:p>
        </w:tc>
        <w:tc>
          <w:tcPr>
            <w:tcW w:w="1973"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Kg</w:t>
            </w:r>
          </w:p>
        </w:tc>
        <w:tc>
          <w:tcPr>
            <w:tcW w:w="3822"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Manteiga</w:t>
            </w:r>
          </w:p>
        </w:tc>
      </w:tr>
      <w:tr>
        <w:trPr>
          <w:trHeight w:val="1" w:hRule="atLeast"/>
          <w:jc w:val="left"/>
        </w:trPr>
        <w:tc>
          <w:tcPr>
            <w:tcW w:w="292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Milho</w:t>
            </w:r>
          </w:p>
        </w:tc>
        <w:tc>
          <w:tcPr>
            <w:tcW w:w="1973"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Kg</w:t>
            </w:r>
          </w:p>
        </w:tc>
        <w:tc>
          <w:tcPr>
            <w:tcW w:w="3822"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Verde</w:t>
            </w:r>
          </w:p>
        </w:tc>
      </w:tr>
      <w:tr>
        <w:trPr>
          <w:trHeight w:val="1" w:hRule="atLeast"/>
          <w:jc w:val="left"/>
        </w:trPr>
        <w:tc>
          <w:tcPr>
            <w:tcW w:w="292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Pimentão</w:t>
            </w:r>
          </w:p>
        </w:tc>
        <w:tc>
          <w:tcPr>
            <w:tcW w:w="1973"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Kg</w:t>
            </w:r>
          </w:p>
        </w:tc>
        <w:tc>
          <w:tcPr>
            <w:tcW w:w="3822"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Verde</w:t>
            </w:r>
          </w:p>
        </w:tc>
      </w:tr>
      <w:tr>
        <w:trPr>
          <w:trHeight w:val="1" w:hRule="atLeast"/>
          <w:jc w:val="left"/>
        </w:trPr>
        <w:tc>
          <w:tcPr>
            <w:tcW w:w="292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Repolho</w:t>
            </w:r>
          </w:p>
        </w:tc>
        <w:tc>
          <w:tcPr>
            <w:tcW w:w="1973"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Kg</w:t>
            </w:r>
          </w:p>
        </w:tc>
        <w:tc>
          <w:tcPr>
            <w:tcW w:w="3822"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Verde</w:t>
            </w:r>
          </w:p>
        </w:tc>
      </w:tr>
      <w:tr>
        <w:trPr>
          <w:trHeight w:val="1" w:hRule="atLeast"/>
          <w:jc w:val="left"/>
        </w:trPr>
        <w:tc>
          <w:tcPr>
            <w:tcW w:w="292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Tomate</w:t>
            </w:r>
          </w:p>
        </w:tc>
        <w:tc>
          <w:tcPr>
            <w:tcW w:w="1973"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Kg</w:t>
            </w:r>
          </w:p>
        </w:tc>
        <w:tc>
          <w:tcPr>
            <w:tcW w:w="3822"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Para salada extra A, ou caquí</w:t>
            </w:r>
          </w:p>
        </w:tc>
      </w:tr>
      <w:tr>
        <w:trPr>
          <w:trHeight w:val="1" w:hRule="atLeast"/>
          <w:jc w:val="left"/>
        </w:trPr>
        <w:tc>
          <w:tcPr>
            <w:tcW w:w="292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Vagem</w:t>
            </w:r>
          </w:p>
        </w:tc>
        <w:tc>
          <w:tcPr>
            <w:tcW w:w="1973"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Kg</w:t>
            </w:r>
          </w:p>
        </w:tc>
        <w:tc>
          <w:tcPr>
            <w:tcW w:w="3822"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92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Mandioca</w:t>
            </w:r>
          </w:p>
        </w:tc>
        <w:tc>
          <w:tcPr>
            <w:tcW w:w="1973"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Kg</w:t>
            </w:r>
          </w:p>
        </w:tc>
        <w:tc>
          <w:tcPr>
            <w:tcW w:w="3822"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92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Salsa</w:t>
            </w:r>
          </w:p>
        </w:tc>
        <w:tc>
          <w:tcPr>
            <w:tcW w:w="1973"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Mç</w:t>
            </w:r>
          </w:p>
        </w:tc>
        <w:tc>
          <w:tcPr>
            <w:tcW w:w="3822"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92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Cebolinha</w:t>
            </w:r>
          </w:p>
        </w:tc>
        <w:tc>
          <w:tcPr>
            <w:tcW w:w="1973"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Mç</w:t>
            </w:r>
          </w:p>
        </w:tc>
        <w:tc>
          <w:tcPr>
            <w:tcW w:w="3822"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92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Cebola</w:t>
            </w:r>
          </w:p>
        </w:tc>
        <w:tc>
          <w:tcPr>
            <w:tcW w:w="1973"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Kg</w:t>
            </w:r>
          </w:p>
        </w:tc>
        <w:tc>
          <w:tcPr>
            <w:tcW w:w="3822"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Branca ou roxa</w:t>
            </w:r>
          </w:p>
        </w:tc>
      </w:tr>
      <w:tr>
        <w:trPr>
          <w:trHeight w:val="1" w:hRule="atLeast"/>
          <w:jc w:val="left"/>
        </w:trPr>
        <w:tc>
          <w:tcPr>
            <w:tcW w:w="292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Cenoura</w:t>
            </w:r>
          </w:p>
        </w:tc>
        <w:tc>
          <w:tcPr>
            <w:tcW w:w="1973"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Kg</w:t>
            </w:r>
          </w:p>
        </w:tc>
        <w:tc>
          <w:tcPr>
            <w:tcW w:w="3822"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92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Chuchu</w:t>
            </w:r>
          </w:p>
        </w:tc>
        <w:tc>
          <w:tcPr>
            <w:tcW w:w="1973"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Kg</w:t>
            </w:r>
          </w:p>
        </w:tc>
        <w:tc>
          <w:tcPr>
            <w:tcW w:w="3822"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92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Alho</w:t>
            </w:r>
          </w:p>
        </w:tc>
        <w:tc>
          <w:tcPr>
            <w:tcW w:w="1973"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Kg</w:t>
            </w:r>
          </w:p>
        </w:tc>
        <w:tc>
          <w:tcPr>
            <w:tcW w:w="3822"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Branco ou roxo, sem réstia, bulbo inteiriço</w:t>
            </w:r>
          </w:p>
        </w:tc>
      </w:tr>
      <w:tr>
        <w:trPr>
          <w:trHeight w:val="1" w:hRule="atLeast"/>
          <w:jc w:val="left"/>
        </w:trPr>
        <w:tc>
          <w:tcPr>
            <w:tcW w:w="292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Beterraba</w:t>
            </w:r>
          </w:p>
        </w:tc>
        <w:tc>
          <w:tcPr>
            <w:tcW w:w="1973"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Kg</w:t>
            </w:r>
          </w:p>
        </w:tc>
        <w:tc>
          <w:tcPr>
            <w:tcW w:w="3822"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Especial tipo A</w:t>
            </w:r>
          </w:p>
        </w:tc>
      </w:tr>
      <w:tr>
        <w:trPr>
          <w:trHeight w:val="1" w:hRule="atLeast"/>
          <w:jc w:val="left"/>
        </w:trPr>
        <w:tc>
          <w:tcPr>
            <w:tcW w:w="292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Batata</w:t>
            </w:r>
          </w:p>
        </w:tc>
        <w:tc>
          <w:tcPr>
            <w:tcW w:w="1973"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Kg</w:t>
            </w:r>
          </w:p>
        </w:tc>
        <w:tc>
          <w:tcPr>
            <w:tcW w:w="3822"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Doce</w:t>
            </w:r>
          </w:p>
        </w:tc>
      </w:tr>
      <w:tr>
        <w:trPr>
          <w:trHeight w:val="1" w:hRule="atLeast"/>
          <w:jc w:val="left"/>
        </w:trPr>
        <w:tc>
          <w:tcPr>
            <w:tcW w:w="292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Batata</w:t>
            </w:r>
          </w:p>
        </w:tc>
        <w:tc>
          <w:tcPr>
            <w:tcW w:w="1973"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Kg</w:t>
            </w:r>
          </w:p>
        </w:tc>
        <w:tc>
          <w:tcPr>
            <w:tcW w:w="3822"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Inglesa</w:t>
            </w:r>
          </w:p>
        </w:tc>
      </w:tr>
      <w:tr>
        <w:trPr>
          <w:trHeight w:val="1" w:hRule="atLeast"/>
          <w:jc w:val="left"/>
        </w:trPr>
        <w:tc>
          <w:tcPr>
            <w:tcW w:w="292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Limão</w:t>
            </w:r>
          </w:p>
        </w:tc>
        <w:tc>
          <w:tcPr>
            <w:tcW w:w="1973"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Kg</w:t>
            </w:r>
          </w:p>
        </w:tc>
        <w:tc>
          <w:tcPr>
            <w:tcW w:w="3822"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Taiti</w:t>
            </w:r>
          </w:p>
        </w:tc>
      </w:tr>
      <w:tr>
        <w:trPr>
          <w:trHeight w:val="1" w:hRule="atLeast"/>
          <w:jc w:val="left"/>
        </w:trPr>
        <w:tc>
          <w:tcPr>
            <w:tcW w:w="292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Inhame</w:t>
            </w:r>
          </w:p>
        </w:tc>
        <w:tc>
          <w:tcPr>
            <w:tcW w:w="1973"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Kg</w:t>
            </w:r>
          </w:p>
        </w:tc>
        <w:tc>
          <w:tcPr>
            <w:tcW w:w="3822"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925"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Ovo</w:t>
            </w:r>
          </w:p>
        </w:tc>
        <w:tc>
          <w:tcPr>
            <w:tcW w:w="1973"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Dz</w:t>
            </w:r>
          </w:p>
        </w:tc>
        <w:tc>
          <w:tcPr>
            <w:tcW w:w="3822"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De galinha, branco ou de cor, classe A, casca limpa, sem manchas ou deformações</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 GENEROS ALIMENTÍCIOS</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tbl>
      <w:tblPr/>
      <w:tblGrid>
        <w:gridCol w:w="4730"/>
        <w:gridCol w:w="3041"/>
        <w:gridCol w:w="949"/>
      </w:tblGrid>
      <w:tr>
        <w:trPr>
          <w:trHeight w:val="1" w:hRule="atLeast"/>
          <w:jc w:val="left"/>
        </w:trPr>
        <w:tc>
          <w:tcPr>
            <w:tcW w:w="47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COLORAU</w:t>
            </w:r>
            <w:r>
              <w:rPr>
                <w:rFonts w:ascii="Times New Roman" w:hAnsi="Times New Roman" w:cs="Times New Roman" w:eastAsia="Times New Roman"/>
                <w:color w:val="auto"/>
                <w:spacing w:val="0"/>
                <w:position w:val="0"/>
                <w:sz w:val="24"/>
                <w:shd w:fill="auto" w:val="clear"/>
              </w:rPr>
              <w:t xml:space="preserve"> (colorífero) produto obtido do pó do urucum com a mistura de fubá ou farinha de mandioca. Pó fino, de coloração avermelhada, deve estar sem a presença de sujidade ou matérias estranhas. </w:t>
            </w:r>
          </w:p>
        </w:tc>
        <w:tc>
          <w:tcPr>
            <w:tcW w:w="30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Embalagem de polietileno transparente, resistente. De 500g a 1 Kg.</w:t>
            </w:r>
          </w:p>
        </w:tc>
        <w:tc>
          <w:tcPr>
            <w:tcW w:w="9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Kg</w:t>
            </w:r>
          </w:p>
        </w:tc>
      </w:tr>
      <w:tr>
        <w:trPr>
          <w:trHeight w:val="1" w:hRule="atLeast"/>
          <w:jc w:val="left"/>
        </w:trPr>
        <w:tc>
          <w:tcPr>
            <w:tcW w:w="47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FARINHA DE MANDIOCA</w:t>
            </w:r>
            <w:r>
              <w:rPr>
                <w:rFonts w:ascii="Times New Roman" w:hAnsi="Times New Roman" w:cs="Times New Roman" w:eastAsia="Times New Roman"/>
                <w:color w:val="auto"/>
                <w:spacing w:val="0"/>
                <w:position w:val="0"/>
                <w:sz w:val="24"/>
                <w:shd w:fill="auto" w:val="clear"/>
              </w:rPr>
              <w:t xml:space="preserve"> produto obtido dos processos de ralar e torrar a mandioca, fina, seca, branca ou amarela, isenta de matéria terrosa, fungos ou parasitas e livre de umidade e fragmentos estranhos.</w:t>
            </w:r>
          </w:p>
        </w:tc>
        <w:tc>
          <w:tcPr>
            <w:tcW w:w="30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Embalagem de polietileno. De 500g a 1 Kg.</w:t>
            </w:r>
          </w:p>
        </w:tc>
        <w:tc>
          <w:tcPr>
            <w:tcW w:w="9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Kg</w:t>
            </w:r>
          </w:p>
        </w:tc>
      </w:tr>
      <w:tr>
        <w:trPr>
          <w:trHeight w:val="1" w:hRule="atLeast"/>
          <w:jc w:val="left"/>
        </w:trPr>
        <w:tc>
          <w:tcPr>
            <w:tcW w:w="47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POLPA DE FRUTAS </w:t>
            </w:r>
            <w:r>
              <w:rPr>
                <w:rFonts w:ascii="Times New Roman" w:hAnsi="Times New Roman" w:cs="Times New Roman" w:eastAsia="Times New Roman"/>
                <w:color w:val="auto"/>
                <w:spacing w:val="0"/>
                <w:position w:val="0"/>
                <w:sz w:val="24"/>
                <w:shd w:fill="auto" w:val="clear"/>
              </w:rPr>
              <w:t xml:space="preserve">produto obtido a partir de frutas, conteúdo líquido pasteurizado, podendo ou não conter adição de açúcar. Ausente de substâncias estranhas. Produto congelado, não fermentado e sem conservantes.</w:t>
            </w:r>
          </w:p>
        </w:tc>
        <w:tc>
          <w:tcPr>
            <w:tcW w:w="30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Embalagem em polipropileno de baixa densidade atóxico. De 100g até 1 Kg.</w:t>
            </w:r>
          </w:p>
        </w:tc>
        <w:tc>
          <w:tcPr>
            <w:tcW w:w="9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Kg</w:t>
            </w:r>
          </w:p>
        </w:tc>
      </w:tr>
      <w:tr>
        <w:trPr>
          <w:trHeight w:val="1" w:hRule="atLeast"/>
          <w:jc w:val="left"/>
        </w:trPr>
        <w:tc>
          <w:tcPr>
            <w:tcW w:w="47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RAPADURA DE CANA </w:t>
            </w:r>
            <w:r>
              <w:rPr>
                <w:rFonts w:ascii="Times New Roman" w:hAnsi="Times New Roman" w:cs="Times New Roman" w:eastAsia="Times New Roman"/>
                <w:color w:val="auto"/>
                <w:spacing w:val="0"/>
                <w:position w:val="0"/>
                <w:sz w:val="24"/>
                <w:shd w:fill="auto" w:val="clear"/>
              </w:rPr>
              <w:t xml:space="preserve">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0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Embalagem em polietileno de baixa densidade atóxico. De 30g até 1 Kg.</w:t>
            </w:r>
          </w:p>
        </w:tc>
        <w:tc>
          <w:tcPr>
            <w:tcW w:w="9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Kg</w:t>
            </w:r>
          </w:p>
        </w:tc>
      </w:tr>
    </w:tbl>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ESTIMATIVA DE QUANTITATIVO DE GÊNEROS ALIMENTÍCIOS A SEREM ADQUIRIDOS DA AGRICULTURA FAMILIAR E EMPREENDEDOR FAMILIAR RURAL</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NESTE QUADRO, COLOCAR OS ALIMENTOS QUE A UNIDADE ESCOLAR COMPRARÁ NO PERÍODO.</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tbl>
      <w:tblPr/>
      <w:tblGrid>
        <w:gridCol w:w="4351"/>
        <w:gridCol w:w="4369"/>
      </w:tblGrid>
      <w:tr>
        <w:trPr>
          <w:trHeight w:val="1" w:hRule="atLeast"/>
          <w:jc w:val="left"/>
        </w:trPr>
        <w:tc>
          <w:tcPr>
            <w:tcW w:w="43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GÊNEROS ALIMENTÍCIOS</w:t>
            </w:r>
          </w:p>
        </w:tc>
        <w:tc>
          <w:tcPr>
            <w:tcW w:w="43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QUANTITATIVO</w:t>
            </w:r>
          </w:p>
        </w:tc>
      </w:tr>
      <w:tr>
        <w:trPr>
          <w:trHeight w:val="1" w:hRule="atLeast"/>
          <w:jc w:val="left"/>
        </w:trPr>
        <w:tc>
          <w:tcPr>
            <w:tcW w:w="43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Batata doce </w:t>
            </w:r>
          </w:p>
        </w:tc>
        <w:tc>
          <w:tcPr>
            <w:tcW w:w="43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60 Kg</w:t>
            </w:r>
          </w:p>
        </w:tc>
      </w:tr>
      <w:tr>
        <w:trPr>
          <w:trHeight w:val="1" w:hRule="atLeast"/>
          <w:jc w:val="left"/>
        </w:trPr>
        <w:tc>
          <w:tcPr>
            <w:tcW w:w="43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Batata inglesa </w:t>
            </w:r>
          </w:p>
        </w:tc>
        <w:tc>
          <w:tcPr>
            <w:tcW w:w="43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60 Kg</w:t>
            </w:r>
          </w:p>
        </w:tc>
      </w:tr>
      <w:tr>
        <w:trPr>
          <w:trHeight w:val="1" w:hRule="atLeast"/>
          <w:jc w:val="left"/>
        </w:trPr>
        <w:tc>
          <w:tcPr>
            <w:tcW w:w="43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Banana marmelo </w:t>
            </w:r>
          </w:p>
        </w:tc>
        <w:tc>
          <w:tcPr>
            <w:tcW w:w="43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60 Kg</w:t>
            </w:r>
          </w:p>
        </w:tc>
      </w:tr>
      <w:tr>
        <w:trPr>
          <w:trHeight w:val="1" w:hRule="atLeast"/>
          <w:jc w:val="left"/>
        </w:trPr>
        <w:tc>
          <w:tcPr>
            <w:tcW w:w="43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Beterraba </w:t>
            </w:r>
          </w:p>
        </w:tc>
        <w:tc>
          <w:tcPr>
            <w:tcW w:w="43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60 Kg</w:t>
            </w:r>
          </w:p>
        </w:tc>
      </w:tr>
      <w:tr>
        <w:trPr>
          <w:trHeight w:val="1" w:hRule="atLeast"/>
          <w:jc w:val="left"/>
        </w:trPr>
        <w:tc>
          <w:tcPr>
            <w:tcW w:w="43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Cebola </w:t>
            </w:r>
          </w:p>
        </w:tc>
        <w:tc>
          <w:tcPr>
            <w:tcW w:w="43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60 Kg</w:t>
            </w:r>
          </w:p>
        </w:tc>
      </w:tr>
      <w:tr>
        <w:trPr>
          <w:trHeight w:val="1" w:hRule="atLeast"/>
          <w:jc w:val="left"/>
        </w:trPr>
        <w:tc>
          <w:tcPr>
            <w:tcW w:w="43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Cenoura </w:t>
            </w:r>
          </w:p>
        </w:tc>
        <w:tc>
          <w:tcPr>
            <w:tcW w:w="43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60 Kg</w:t>
            </w:r>
          </w:p>
        </w:tc>
      </w:tr>
      <w:tr>
        <w:trPr>
          <w:trHeight w:val="1" w:hRule="atLeast"/>
          <w:jc w:val="left"/>
        </w:trPr>
        <w:tc>
          <w:tcPr>
            <w:tcW w:w="43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Banana prata </w:t>
            </w:r>
          </w:p>
        </w:tc>
        <w:tc>
          <w:tcPr>
            <w:tcW w:w="43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180 Kg</w:t>
            </w:r>
          </w:p>
        </w:tc>
      </w:tr>
      <w:tr>
        <w:trPr>
          <w:trHeight w:val="1" w:hRule="atLeast"/>
          <w:jc w:val="left"/>
        </w:trPr>
        <w:tc>
          <w:tcPr>
            <w:tcW w:w="43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Couve </w:t>
            </w:r>
          </w:p>
        </w:tc>
        <w:tc>
          <w:tcPr>
            <w:tcW w:w="43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30 (Maço industrial)</w:t>
            </w:r>
          </w:p>
        </w:tc>
      </w:tr>
      <w:tr>
        <w:trPr>
          <w:trHeight w:val="1" w:hRule="atLeast"/>
          <w:jc w:val="left"/>
        </w:trPr>
        <w:tc>
          <w:tcPr>
            <w:tcW w:w="43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Doce de banana </w:t>
            </w:r>
          </w:p>
        </w:tc>
        <w:tc>
          <w:tcPr>
            <w:tcW w:w="43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120 Kg</w:t>
            </w:r>
          </w:p>
        </w:tc>
      </w:tr>
      <w:tr>
        <w:trPr>
          <w:trHeight w:val="1" w:hRule="atLeast"/>
          <w:jc w:val="left"/>
        </w:trPr>
        <w:tc>
          <w:tcPr>
            <w:tcW w:w="43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Laranja </w:t>
            </w:r>
          </w:p>
        </w:tc>
        <w:tc>
          <w:tcPr>
            <w:tcW w:w="43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120 Kg</w:t>
            </w:r>
          </w:p>
        </w:tc>
      </w:tr>
      <w:tr>
        <w:trPr>
          <w:trHeight w:val="1" w:hRule="atLeast"/>
          <w:jc w:val="left"/>
        </w:trPr>
        <w:tc>
          <w:tcPr>
            <w:tcW w:w="43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Mandioca </w:t>
            </w:r>
          </w:p>
        </w:tc>
        <w:tc>
          <w:tcPr>
            <w:tcW w:w="43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60 Kg</w:t>
            </w:r>
          </w:p>
        </w:tc>
      </w:tr>
      <w:tr>
        <w:trPr>
          <w:trHeight w:val="1" w:hRule="atLeast"/>
          <w:jc w:val="left"/>
        </w:trPr>
        <w:tc>
          <w:tcPr>
            <w:tcW w:w="43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Milho verde in natura </w:t>
            </w:r>
          </w:p>
        </w:tc>
        <w:tc>
          <w:tcPr>
            <w:tcW w:w="43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60 Kg</w:t>
            </w:r>
          </w:p>
        </w:tc>
      </w:tr>
      <w:tr>
        <w:trPr>
          <w:trHeight w:val="1" w:hRule="atLeast"/>
          <w:jc w:val="left"/>
        </w:trPr>
        <w:tc>
          <w:tcPr>
            <w:tcW w:w="43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Polpa de frutas </w:t>
            </w:r>
          </w:p>
        </w:tc>
        <w:tc>
          <w:tcPr>
            <w:tcW w:w="43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200 Kg</w:t>
            </w:r>
          </w:p>
        </w:tc>
      </w:tr>
      <w:tr>
        <w:trPr>
          <w:trHeight w:val="1" w:hRule="atLeast"/>
          <w:jc w:val="left"/>
        </w:trPr>
        <w:tc>
          <w:tcPr>
            <w:tcW w:w="43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Repolho </w:t>
            </w:r>
          </w:p>
        </w:tc>
        <w:tc>
          <w:tcPr>
            <w:tcW w:w="43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50 Kg</w:t>
            </w:r>
          </w:p>
        </w:tc>
      </w:tr>
      <w:tr>
        <w:trPr>
          <w:trHeight w:val="1" w:hRule="atLeast"/>
          <w:jc w:val="left"/>
        </w:trPr>
        <w:tc>
          <w:tcPr>
            <w:tcW w:w="43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Tomate </w:t>
            </w:r>
          </w:p>
        </w:tc>
        <w:tc>
          <w:tcPr>
            <w:tcW w:w="43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120 Kg</w:t>
            </w:r>
          </w:p>
        </w:tc>
      </w:tr>
    </w:tbl>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23">
    <w:abstractNumId w:val="6"/>
  </w:num>
  <w:num w:numId="25">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numbering.xml" Id="docRId3" Type="http://schemas.openxmlformats.org/officeDocument/2006/relationships/numbering"/><Relationship Target="embeddings/oleObject0.bin" Id="docRId0" Type="http://schemas.openxmlformats.org/officeDocument/2006/relationships/oleObject"/><Relationship TargetMode="External" Target="http://www.seduc.go.gov.br/" Id="docRId2" Type="http://schemas.openxmlformats.org/officeDocument/2006/relationships/hyperlink"/><Relationship Target="styles.xml" Id="docRId4" Type="http://schemas.openxmlformats.org/officeDocument/2006/relationships/styles"/></Relationships>
</file>