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6" w:rsidRDefault="00C23346"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971BA3">
        <w:rPr>
          <w:b/>
          <w:color w:val="000000"/>
        </w:rPr>
        <w:t>001/2014</w:t>
      </w:r>
    </w:p>
    <w:p w:rsidR="00F71041" w:rsidRDefault="00F71041" w:rsidP="00F42ACA">
      <w:pPr>
        <w:tabs>
          <w:tab w:val="left" w:pos="0"/>
        </w:tabs>
        <w:spacing w:line="360" w:lineRule="auto"/>
        <w:jc w:val="center"/>
        <w:rPr>
          <w:b/>
          <w:color w:val="000000"/>
        </w:rPr>
      </w:pPr>
      <w:r>
        <w:rPr>
          <w:b/>
          <w:color w:val="000000"/>
        </w:rPr>
        <w:t>PRORROGAÇÃO (01)</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277742601-53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sidR="0046202F">
        <w:rPr>
          <w:color w:val="000000"/>
          <w:lang w:val="pt-PT"/>
        </w:rPr>
        <w:t>, de 17 de junho de 2013</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477BE">
        <w:rPr>
          <w:b/>
          <w:color w:val="000000"/>
          <w:lang w:val="pt-PT"/>
        </w:rPr>
        <w:t>22/0</w:t>
      </w:r>
      <w:r w:rsidRPr="008B6B17">
        <w:rPr>
          <w:b/>
          <w:color w:val="000000"/>
          <w:lang w:val="pt-PT"/>
        </w:rPr>
        <w:t>1</w:t>
      </w:r>
      <w:r w:rsidR="009477BE">
        <w:rPr>
          <w:b/>
          <w:color w:val="000000"/>
          <w:lang w:val="pt-PT"/>
        </w:rPr>
        <w:t>/2014 a 30/04/2014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00F71041">
        <w:rPr>
          <w:b/>
          <w:color w:val="000000"/>
          <w:lang w:val="pt-PT"/>
        </w:rPr>
        <w:t>06/03</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lastRenderedPageBreak/>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B75811"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B75811">
        <w:rPr>
          <w:snapToGrid w:val="0"/>
        </w:rPr>
        <w:t>Os gêneros alimentícios deverão</w:t>
      </w:r>
      <w:r w:rsidR="00B75811" w:rsidRPr="00B75811">
        <w:rPr>
          <w:snapToGrid w:val="0"/>
        </w:rPr>
        <w:t xml:space="preserve"> ser </w:t>
      </w:r>
      <w:proofErr w:type="gramStart"/>
      <w:r w:rsidR="00B75811" w:rsidRPr="00B75811">
        <w:rPr>
          <w:snapToGrid w:val="0"/>
        </w:rPr>
        <w:t>entregues, semanalmente</w:t>
      </w:r>
      <w:r w:rsidR="00B75811" w:rsidRPr="00B75811">
        <w:rPr>
          <w:b/>
          <w:snapToGrid w:val="0"/>
        </w:rPr>
        <w:t>, no Colégio Estadual Salvador santos, na</w:t>
      </w:r>
      <w:r>
        <w:rPr>
          <w:snapToGrid w:val="0"/>
        </w:rPr>
        <w:t xml:space="preserve"> </w:t>
      </w:r>
      <w:r>
        <w:rPr>
          <w:b/>
          <w:snapToGrid w:val="0"/>
        </w:rPr>
        <w:t>Rua Ribeirão Preto</w:t>
      </w:r>
      <w:proofErr w:type="gramEnd"/>
      <w:r>
        <w:rPr>
          <w:b/>
          <w:snapToGrid w:val="0"/>
        </w:rPr>
        <w:t xml:space="preserve">,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9477BE">
        <w:rPr>
          <w:b/>
          <w:snapToGrid w:val="0"/>
        </w:rPr>
        <w:t>22/01/2014</w:t>
      </w:r>
      <w:r>
        <w:rPr>
          <w:b/>
          <w:snapToGrid w:val="0"/>
        </w:rPr>
        <w:t xml:space="preserve"> </w:t>
      </w:r>
      <w:r w:rsidR="009477BE">
        <w:rPr>
          <w:b/>
          <w:snapToGrid w:val="0"/>
        </w:rPr>
        <w:t>a 30/04</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6C500E">
        <w:rPr>
          <w:b/>
        </w:rPr>
        <w:lastRenderedPageBreak/>
        <w:t>001/2014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787064">
        <w:t>7</w:t>
      </w:r>
      <w:r>
        <w:t xml:space="preserve"> de junho</w:t>
      </w:r>
      <w:r w:rsidRPr="00300344">
        <w:t xml:space="preserve"> </w:t>
      </w:r>
      <w:r>
        <w:t xml:space="preserve">de </w:t>
      </w:r>
      <w:r w:rsidRPr="00300344">
        <w:t>20</w:t>
      </w:r>
      <w:r w:rsidR="00787064">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w:t>
      </w:r>
      <w:r w:rsidR="00681E68">
        <w:t xml:space="preserve"> </w:t>
      </w:r>
      <w:proofErr w:type="gramStart"/>
      <w:r w:rsidR="00681E68" w:rsidRPr="00681E68">
        <w:rPr>
          <w:b/>
        </w:rPr>
        <w:t>04</w:t>
      </w:r>
      <w:r w:rsidRPr="00300344">
        <w:t xml:space="preserve"> </w:t>
      </w:r>
      <w:r w:rsidR="00681E68">
        <w:rPr>
          <w:b/>
        </w:rPr>
        <w:t>(quatro</w:t>
      </w:r>
      <w:r w:rsidRPr="00435C98">
        <w:rPr>
          <w:b/>
        </w:rPr>
        <w:t>) meses</w:t>
      </w:r>
      <w:r w:rsidRPr="00300344">
        <w:t>, período</w:t>
      </w:r>
      <w:proofErr w:type="gramEnd"/>
      <w:r w:rsidRPr="00300344">
        <w:t xml:space="preserve"> este compreendido de </w:t>
      </w:r>
      <w:r w:rsidR="00681E68">
        <w:rPr>
          <w:b/>
          <w:color w:val="000000"/>
        </w:rPr>
        <w:t>22/01/2014 a 30/04/2014.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FD4A06">
        <w:rPr>
          <w:b/>
          <w:color w:val="000000"/>
        </w:rPr>
        <w:t xml:space="preserve">22/01/2014 </w:t>
      </w:r>
      <w:r w:rsidR="00681E68">
        <w:rPr>
          <w:b/>
          <w:color w:val="000000"/>
        </w:rPr>
        <w:t>A 30/04/2014.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Pr="008B6B17">
        <w:rPr>
          <w:b/>
          <w:color w:val="000000"/>
        </w:rPr>
        <w:t>62- 3313-</w:t>
      </w:r>
      <w:r w:rsidR="00133E57">
        <w:rPr>
          <w:b/>
          <w:color w:val="000000"/>
        </w:rPr>
        <w:t>6627</w:t>
      </w:r>
      <w:r w:rsidRPr="00F96B7E">
        <w:rPr>
          <w:b/>
        </w:rPr>
        <w:t xml:space="preserve"> </w:t>
      </w:r>
      <w:r w:rsidRPr="00681E68">
        <w:t>Conselho</w:t>
      </w:r>
      <w:r w:rsidRPr="00300344">
        <w:t xml:space="preserve"> Escolar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sidR="00613149">
        <w:rPr>
          <w:b/>
          <w:bCs/>
        </w:rPr>
        <w:t>FNDE, DE 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Doce de Banana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F42ACA" w:rsidP="005D7EC8">
            <w:pPr>
              <w:autoSpaceDE w:val="0"/>
              <w:autoSpaceDN w:val="0"/>
              <w:adjustRightInd w:val="0"/>
              <w:spacing w:line="360" w:lineRule="auto"/>
            </w:pPr>
            <w:proofErr w:type="gramStart"/>
            <w:r>
              <w:t>12KG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Doce de Banana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R$ 4,50</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sidR="00681E68">
        <w:rPr>
          <w:b/>
        </w:rPr>
        <w:t>DO COLÉGIO ESTADUAL SALVADOR SANTOS</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681E68">
        <w:rPr>
          <w:b/>
          <w:color w:val="000000"/>
        </w:rPr>
        <w:t>20</w:t>
      </w:r>
      <w:r w:rsidR="00613149">
        <w:rPr>
          <w:b/>
          <w:color w:val="000000"/>
        </w:rPr>
        <w:t xml:space="preserve"> DE FEVER</w:t>
      </w:r>
      <w:r w:rsidR="00042141">
        <w:rPr>
          <w:b/>
          <w:color w:val="000000"/>
        </w:rPr>
        <w:t>EIRO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sidR="004D44F9">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681E68">
        <w:rPr>
          <w:b/>
          <w:bCs/>
        </w:rPr>
        <w:t>hamada Pública nº 001/2014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27" w:rsidRDefault="003E6E27" w:rsidP="00222D19">
      <w:r>
        <w:separator/>
      </w:r>
    </w:p>
  </w:endnote>
  <w:endnote w:type="continuationSeparator" w:id="0">
    <w:p w:rsidR="003E6E27" w:rsidRDefault="003E6E27"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3E6E27">
    <w:pPr>
      <w:pStyle w:val="Rodap"/>
      <w:ind w:right="360"/>
    </w:pPr>
  </w:p>
  <w:p w:rsidR="004A7EAA" w:rsidRDefault="003E6E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F71041">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27" w:rsidRDefault="003E6E27" w:rsidP="00222D19">
      <w:r>
        <w:separator/>
      </w:r>
    </w:p>
  </w:footnote>
  <w:footnote w:type="continuationSeparator" w:id="0">
    <w:p w:rsidR="003E6E27" w:rsidRDefault="003E6E27"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3E6E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3E6E27">
    <w:pPr>
      <w:pStyle w:val="Cabealho"/>
      <w:framePr w:wrap="around" w:vAnchor="text" w:hAnchor="margin" w:xAlign="right" w:y="1"/>
      <w:rPr>
        <w:rStyle w:val="Nmerodepgina"/>
      </w:rPr>
    </w:pPr>
  </w:p>
  <w:p w:rsidR="00435C98" w:rsidRDefault="0078330D"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3E6E27"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Legenda"/>
      <w:rPr>
        <w:b w:val="0"/>
        <w:sz w:val="28"/>
      </w:rPr>
    </w:pPr>
    <w:r w:rsidRPr="007833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80775" r:id="rId2"/>
      </w:pict>
    </w:r>
  </w:p>
  <w:p w:rsidR="004A7EAA" w:rsidRDefault="003E6E27">
    <w:pPr>
      <w:pStyle w:val="Legenda"/>
      <w:rPr>
        <w:b w:val="0"/>
        <w:sz w:val="16"/>
      </w:rPr>
    </w:pPr>
  </w:p>
  <w:p w:rsidR="004A7EAA" w:rsidRDefault="003E6E27">
    <w:pPr>
      <w:pStyle w:val="Legenda"/>
      <w:rPr>
        <w:b w:val="0"/>
      </w:rPr>
    </w:pPr>
  </w:p>
  <w:p w:rsidR="004A7EAA" w:rsidRDefault="003E6E27">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42ACA"/>
    <w:rsid w:val="00042141"/>
    <w:rsid w:val="00083209"/>
    <w:rsid w:val="000E72A4"/>
    <w:rsid w:val="00133E57"/>
    <w:rsid w:val="001B14AD"/>
    <w:rsid w:val="001E6A27"/>
    <w:rsid w:val="00222D19"/>
    <w:rsid w:val="00295643"/>
    <w:rsid w:val="003C73EF"/>
    <w:rsid w:val="003E6E27"/>
    <w:rsid w:val="0046202F"/>
    <w:rsid w:val="0047427C"/>
    <w:rsid w:val="004D44F9"/>
    <w:rsid w:val="004F3CF0"/>
    <w:rsid w:val="005224B7"/>
    <w:rsid w:val="00572504"/>
    <w:rsid w:val="00613149"/>
    <w:rsid w:val="00681E68"/>
    <w:rsid w:val="006C500E"/>
    <w:rsid w:val="00723BA6"/>
    <w:rsid w:val="0078330D"/>
    <w:rsid w:val="00787064"/>
    <w:rsid w:val="007A6A7B"/>
    <w:rsid w:val="00877694"/>
    <w:rsid w:val="008953D1"/>
    <w:rsid w:val="009477BE"/>
    <w:rsid w:val="00971BA3"/>
    <w:rsid w:val="009B6555"/>
    <w:rsid w:val="00A952E4"/>
    <w:rsid w:val="00AD59C4"/>
    <w:rsid w:val="00B038F1"/>
    <w:rsid w:val="00B75811"/>
    <w:rsid w:val="00B8052D"/>
    <w:rsid w:val="00BB47AD"/>
    <w:rsid w:val="00BC0372"/>
    <w:rsid w:val="00C23346"/>
    <w:rsid w:val="00C76FE3"/>
    <w:rsid w:val="00D15E26"/>
    <w:rsid w:val="00D34D5E"/>
    <w:rsid w:val="00D47340"/>
    <w:rsid w:val="00D86B73"/>
    <w:rsid w:val="00DB2121"/>
    <w:rsid w:val="00E523FB"/>
    <w:rsid w:val="00EC138B"/>
    <w:rsid w:val="00F42ACA"/>
    <w:rsid w:val="00F71041"/>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D870-3664-4C11-A790-5431D485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2014-02-21T12:40:00Z</dcterms:created>
  <dcterms:modified xsi:type="dcterms:W3CDTF">2014-02-21T12:40:00Z</dcterms:modified>
</cp:coreProperties>
</file>