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EE7FAD" w:rsidRDefault="00EE7FAD" w:rsidP="00003E8A">
      <w:pPr>
        <w:tabs>
          <w:tab w:val="left" w:pos="0"/>
          <w:tab w:val="center" w:pos="4252"/>
        </w:tabs>
        <w:spacing w:line="360" w:lineRule="auto"/>
        <w:jc w:val="both"/>
        <w:rPr>
          <w:b/>
        </w:rPr>
      </w:pPr>
      <w:r w:rsidRPr="00003E8A">
        <w:rPr>
          <w:b/>
        </w:rPr>
        <w:tab/>
      </w:r>
      <w:r w:rsidR="00BE2209" w:rsidRPr="00003E8A">
        <w:rPr>
          <w:b/>
        </w:rPr>
        <w:t xml:space="preserve">E D I T A L D E CHAMADA PÚBLICA </w:t>
      </w:r>
      <w:r w:rsidR="006C4559" w:rsidRPr="00003E8A">
        <w:rPr>
          <w:b/>
        </w:rPr>
        <w:t>00</w:t>
      </w:r>
      <w:r w:rsidR="005D135A" w:rsidRPr="00003E8A">
        <w:rPr>
          <w:b/>
        </w:rPr>
        <w:t>1/2014</w:t>
      </w:r>
      <w:r w:rsidR="002C019B" w:rsidRPr="00003E8A">
        <w:rPr>
          <w:b/>
        </w:rPr>
        <w:t xml:space="preserve"> </w:t>
      </w:r>
    </w:p>
    <w:p w:rsidR="00045FC0" w:rsidRPr="00003E8A" w:rsidRDefault="00475972" w:rsidP="00045FC0">
      <w:pPr>
        <w:tabs>
          <w:tab w:val="left" w:pos="0"/>
          <w:tab w:val="center" w:pos="4252"/>
        </w:tabs>
        <w:spacing w:line="360" w:lineRule="auto"/>
        <w:jc w:val="center"/>
        <w:rPr>
          <w:b/>
        </w:rPr>
      </w:pPr>
      <w:r>
        <w:rPr>
          <w:b/>
        </w:rPr>
        <w:t>PRORROGAÇÃO (02</w:t>
      </w:r>
      <w:r w:rsidR="00045FC0">
        <w:rPr>
          <w:b/>
        </w:rPr>
        <w:t>)</w:t>
      </w:r>
    </w:p>
    <w:p w:rsidR="00003E8A" w:rsidRPr="00003E8A" w:rsidRDefault="00EE7FAD" w:rsidP="00003E8A">
      <w:pPr>
        <w:tabs>
          <w:tab w:val="left" w:pos="0"/>
          <w:tab w:val="center" w:pos="4252"/>
        </w:tabs>
        <w:spacing w:line="360" w:lineRule="auto"/>
        <w:jc w:val="both"/>
        <w:rPr>
          <w:b/>
        </w:rPr>
      </w:pPr>
      <w:r w:rsidRPr="00003E8A">
        <w:rPr>
          <w:b/>
        </w:rPr>
        <w:t xml:space="preserve">                                            </w:t>
      </w:r>
    </w:p>
    <w:p w:rsidR="006C4559" w:rsidRDefault="00EE7FAD" w:rsidP="00003E8A">
      <w:pPr>
        <w:tabs>
          <w:tab w:val="left" w:pos="0"/>
          <w:tab w:val="center" w:pos="4252"/>
        </w:tabs>
        <w:spacing w:line="360" w:lineRule="auto"/>
        <w:jc w:val="both"/>
        <w:rPr>
          <w:lang w:val="pt-PT"/>
        </w:rPr>
      </w:pPr>
      <w:r w:rsidRPr="00003E8A">
        <w:rPr>
          <w:b/>
        </w:rPr>
        <w:t xml:space="preserve">     </w:t>
      </w:r>
      <w:r w:rsidR="006C4559" w:rsidRPr="00003E8A">
        <w:rPr>
          <w:b/>
        </w:rPr>
        <w:t xml:space="preserve"> </w:t>
      </w:r>
      <w:r w:rsidR="006C4559" w:rsidRPr="00003E8A">
        <w:rPr>
          <w:lang w:val="pt-PT"/>
        </w:rPr>
        <w:t xml:space="preserve">O Conselho Escolar Colégio Estadual Dr. Pedro Ludovico Teixeira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3E8A">
        <w:rPr>
          <w:b/>
          <w:lang w:val="pt-PT"/>
        </w:rPr>
        <w:t>22/01/2014 a</w:t>
      </w:r>
      <w:r w:rsidR="005D135A" w:rsidRPr="00003E8A">
        <w:rPr>
          <w:b/>
          <w:lang w:val="pt-PT"/>
        </w:rPr>
        <w:t xml:space="preserve"> 30/04/2014</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475972">
        <w:rPr>
          <w:b/>
          <w:lang w:val="pt-PT"/>
        </w:rPr>
        <w:t>27</w:t>
      </w:r>
      <w:r w:rsidRPr="00003E8A">
        <w:rPr>
          <w:b/>
          <w:lang w:val="pt-PT"/>
        </w:rPr>
        <w:t>/03</w:t>
      </w:r>
      <w:r w:rsidR="005D135A" w:rsidRPr="00003E8A">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realização desta Chamada Pública na data acima mencionada, o evento será </w:t>
      </w:r>
      <w:r w:rsidRPr="00003E8A">
        <w:rPr>
          <w:snapToGrid w:val="0"/>
        </w:rPr>
        <w:lastRenderedPageBreak/>
        <w:t>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003E8A" w:rsidRPr="00003E8A" w:rsidRDefault="00003E8A" w:rsidP="00003E8A">
      <w:pPr>
        <w:widowControl w:val="0"/>
        <w:spacing w:line="360" w:lineRule="auto"/>
        <w:ind w:right="-142"/>
        <w:jc w:val="both"/>
        <w:rPr>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 xml:space="preserve">VIII – Para produtos de origem animal, apresentar documentação comprobatória de Serviço de Inspeção Sanitário, podendo ser Serviço de Inspeção Municipal (SIM) e </w:t>
      </w:r>
      <w:r w:rsidRPr="00003E8A">
        <w:lastRenderedPageBreak/>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 </w:t>
      </w:r>
      <w:r w:rsidR="005D135A" w:rsidRPr="00003E8A">
        <w:rPr>
          <w:lang w:val="pt-PT"/>
        </w:rPr>
        <w:t>22/01/2014 á 30/04/2014</w:t>
      </w:r>
      <w:r w:rsidR="005D135A" w:rsidRPr="00003E8A">
        <w:rPr>
          <w:b/>
          <w:lang w:val="pt-PT"/>
        </w:rPr>
        <w:t>.</w:t>
      </w:r>
      <w:r w:rsidR="005D135A"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21:00hs, de acordo com o cardápio, na qual se </w:t>
      </w:r>
      <w:r w:rsidRPr="00003E8A">
        <w:rPr>
          <w:snapToGrid w:val="0"/>
        </w:rPr>
        <w:lastRenderedPageBreak/>
        <w:t>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 xml:space="preserve">8.2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003E8A">
        <w:t xml:space="preserve">8.6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 xml:space="preserve">Cada grupo Formal deverá, obrigatoriamente, ofertar a quantidade e variedade de alimentos de acordo com a sua produção, em conformidade com as normas de </w:t>
      </w:r>
      <w:r w:rsidRPr="00003E8A">
        <w:lastRenderedPageBreak/>
        <w:t>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w:t>
      </w:r>
      <w:proofErr w:type="gramStart"/>
      <w:r w:rsidRPr="00003E8A">
        <w:t>a</w:t>
      </w:r>
      <w:proofErr w:type="gramEnd"/>
      <w:r w:rsidRPr="00003E8A">
        <w:t xml:space="preserve">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5D135A" w:rsidRPr="00003E8A">
        <w:t>001/2014</w:t>
      </w:r>
      <w:r w:rsidRPr="00003E8A">
        <w:t>.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lastRenderedPageBreak/>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5D135A" w:rsidRPr="00003E8A">
        <w:t>três</w:t>
      </w:r>
      <w:r w:rsidRPr="00003E8A">
        <w:t xml:space="preserve"> (</w:t>
      </w:r>
      <w:r w:rsidR="006C4559" w:rsidRPr="00003E8A">
        <w:t>0</w:t>
      </w:r>
      <w:r w:rsidR="00141845" w:rsidRPr="00003E8A">
        <w:t>4</w:t>
      </w:r>
      <w:r w:rsidRPr="00003E8A">
        <w:t>) meses, período</w:t>
      </w:r>
      <w:proofErr w:type="gramEnd"/>
      <w:r w:rsidRPr="00003E8A">
        <w:t xml:space="preserve"> este compreendido de </w:t>
      </w:r>
      <w:r w:rsidR="005D135A" w:rsidRPr="00003E8A">
        <w:rPr>
          <w:lang w:val="pt-PT"/>
        </w:rPr>
        <w:t>22/01/2014 á 30/04/2014</w:t>
      </w:r>
      <w:r w:rsidR="005D135A" w:rsidRPr="00003E8A">
        <w:rPr>
          <w:b/>
          <w:lang w:val="pt-PT"/>
        </w:rPr>
        <w:t>.</w:t>
      </w:r>
      <w:r w:rsidR="005D135A"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lastRenderedPageBreak/>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003E8A" w:rsidRDefault="00BE2209" w:rsidP="00003E8A">
      <w:pPr>
        <w:autoSpaceDE w:val="0"/>
        <w:autoSpaceDN w:val="0"/>
        <w:adjustRightInd w:val="0"/>
        <w:spacing w:line="360" w:lineRule="auto"/>
        <w:jc w:val="both"/>
        <w:rPr>
          <w:b/>
        </w:rPr>
      </w:pPr>
      <w:r w:rsidRPr="00003E8A">
        <w:rPr>
          <w:b/>
          <w:bCs/>
        </w:rPr>
        <w:t xml:space="preserve">12.8 </w:t>
      </w:r>
      <w:r w:rsidRPr="00003E8A">
        <w:t xml:space="preserve">O período de fornecimento desta Chamada Pública se dará de </w:t>
      </w:r>
      <w:r w:rsidR="00003E8A">
        <w:rPr>
          <w:b/>
          <w:lang w:val="pt-PT"/>
        </w:rPr>
        <w:t>22/01/2014 a</w:t>
      </w:r>
      <w:r w:rsidR="005D135A" w:rsidRPr="00003E8A">
        <w:rPr>
          <w:b/>
          <w:lang w:val="pt-PT"/>
        </w:rPr>
        <w:t xml:space="preserve"> 30/04/2014.  </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lastRenderedPageBreak/>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9C5145" w:rsidRPr="00003E8A" w:rsidRDefault="009C5145" w:rsidP="00003E8A">
      <w:pPr>
        <w:autoSpaceDE w:val="0"/>
        <w:autoSpaceDN w:val="0"/>
        <w:adjustRightInd w:val="0"/>
        <w:spacing w:line="360" w:lineRule="auto"/>
        <w:jc w:val="center"/>
        <w:rPr>
          <w:b/>
          <w:bCs/>
        </w:rPr>
      </w:pPr>
      <w:r w:rsidRPr="00003E8A">
        <w:rPr>
          <w:b/>
          <w:bCs/>
        </w:rPr>
        <w:t>Gilberto Severino de Moura</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lastRenderedPageBreak/>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3E8A">
        <w:t>a</w:t>
      </w:r>
      <w:proofErr w:type="gramEnd"/>
      <w:r w:rsidRPr="00003E8A">
        <w:t xml:space="preserve">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roofErr w:type="gramStart"/>
      <w:r w:rsidRPr="00003E8A">
        <w:t>)</w:t>
      </w:r>
      <w:proofErr w:type="gramEnd"/>
    </w:p>
    <w:p w:rsidR="00BE2209" w:rsidRPr="00003E8A" w:rsidRDefault="00BE2209" w:rsidP="00003E8A">
      <w:pPr>
        <w:autoSpaceDE w:val="0"/>
        <w:autoSpaceDN w:val="0"/>
        <w:adjustRightInd w:val="0"/>
        <w:spacing w:line="360" w:lineRule="auto"/>
        <w:jc w:val="both"/>
      </w:pPr>
      <w:r w:rsidRPr="00003E8A">
        <w:t>INMETRO (Instituto de Metrologia)</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nanica, maçã, prata, da </w:t>
            </w:r>
            <w:proofErr w:type="gramStart"/>
            <w:r w:rsidRPr="00003E8A">
              <w:t>terra</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proofErr w:type="spellStart"/>
            <w:r w:rsidRPr="00003E8A">
              <w:t>Pêra</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Fuji ou gala, </w:t>
            </w:r>
            <w:proofErr w:type="gramStart"/>
            <w:r w:rsidRPr="00003E8A">
              <w:t>nacional</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xml:space="preserve">, </w:t>
            </w:r>
            <w:proofErr w:type="gramStart"/>
            <w:r w:rsidRPr="00003E8A">
              <w:t>paulista</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proofErr w:type="gramStart"/>
            <w:r w:rsidRPr="00003E8A">
              <w:t>caquí</w:t>
            </w:r>
            <w:proofErr w:type="spellEnd"/>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Branco ou roxo, sem réstia, bulbo </w:t>
            </w:r>
            <w:proofErr w:type="gramStart"/>
            <w:r w:rsidRPr="00003E8A">
              <w:t>inteiriço</w:t>
            </w:r>
            <w:proofErr w:type="gram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De galinha, branco ou de cor, classe A, casca limpa, sem manchas ou </w:t>
            </w:r>
            <w:proofErr w:type="gramStart"/>
            <w:r w:rsidRPr="00003E8A">
              <w:t>deformações</w:t>
            </w:r>
            <w:proofErr w:type="gramEnd"/>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xml:space="preserve">). Devem ser fabricados com matéria prima não fermentada, isenta de matéria terrosa, parasitas e detritos </w:t>
            </w:r>
            <w:r w:rsidRPr="00003E8A">
              <w:lastRenderedPageBreak/>
              <w:t xml:space="preserve">animais ou vegetais. Vedada </w:t>
            </w:r>
            <w:proofErr w:type="gramStart"/>
            <w:r w:rsidRPr="00003E8A">
              <w:t>a</w:t>
            </w:r>
            <w:proofErr w:type="gramEnd"/>
            <w:r w:rsidRPr="00003E8A">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9C5145"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roofErr w:type="spellStart"/>
      <w:r w:rsidR="00196260" w:rsidRPr="00003E8A">
        <w:rPr>
          <w:b/>
        </w:rPr>
        <w:t>Doverlândia</w:t>
      </w:r>
      <w:proofErr w:type="spellEnd"/>
      <w:r w:rsidR="00196260" w:rsidRPr="00003E8A">
        <w:rPr>
          <w:b/>
        </w:rPr>
        <w:t>,</w:t>
      </w:r>
      <w:r w:rsidR="00003E8A">
        <w:rPr>
          <w:b/>
        </w:rPr>
        <w:t xml:space="preserve"> </w:t>
      </w:r>
      <w:r w:rsidR="00196260" w:rsidRPr="00003E8A">
        <w:rPr>
          <w:b/>
        </w:rPr>
        <w:t>07 DE MARÇO</w:t>
      </w:r>
      <w:r w:rsidR="005D135A" w:rsidRPr="00003E8A">
        <w:rPr>
          <w:b/>
        </w:rPr>
        <w:t xml:space="preserve"> </w:t>
      </w:r>
      <w:r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003E8A" w:rsidRPr="00003E8A" w:rsidRDefault="00003E8A" w:rsidP="00003E8A">
      <w:pPr>
        <w:autoSpaceDE w:val="0"/>
        <w:autoSpaceDN w:val="0"/>
        <w:adjustRightInd w:val="0"/>
        <w:spacing w:line="360" w:lineRule="auto"/>
        <w:jc w:val="center"/>
      </w:pPr>
    </w:p>
    <w:p w:rsidR="00BE2209" w:rsidRPr="00003E8A" w:rsidRDefault="00BE2209" w:rsidP="00003E8A">
      <w:pPr>
        <w:autoSpaceDE w:val="0"/>
        <w:autoSpaceDN w:val="0"/>
        <w:adjustRightInd w:val="0"/>
        <w:spacing w:line="360" w:lineRule="auto"/>
        <w:jc w:val="both"/>
        <w:rPr>
          <w:b/>
          <w:bCs/>
        </w:rPr>
      </w:pPr>
      <w:bookmarkStart w:id="0" w:name="_GoBack"/>
      <w:bookmarkEnd w:id="0"/>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lastRenderedPageBreak/>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5D135A" w:rsidRPr="00003E8A">
        <w:rPr>
          <w:b/>
          <w:bCs/>
        </w:rPr>
        <w:t>1/2014</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A1" w:rsidRDefault="00A40AA1" w:rsidP="00BE2209">
      <w:r>
        <w:separator/>
      </w:r>
    </w:p>
  </w:endnote>
  <w:endnote w:type="continuationSeparator" w:id="0">
    <w:p w:rsidR="00A40AA1" w:rsidRDefault="00A40AA1"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003E8A" w:rsidRPr="00A753A8" w:rsidRDefault="00003E8A" w:rsidP="00003E8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E8A" w:rsidRPr="00A753A8" w:rsidRDefault="00003E8A" w:rsidP="00003E8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003E8A">
    <w:pPr>
      <w:pStyle w:val="Rodap"/>
    </w:pP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A1" w:rsidRDefault="00A40AA1" w:rsidP="00BE2209">
      <w:r>
        <w:separator/>
      </w:r>
    </w:p>
  </w:footnote>
  <w:footnote w:type="continuationSeparator" w:id="0">
    <w:p w:rsidR="00A40AA1" w:rsidRDefault="00A40AA1"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Cabealho"/>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2209"/>
    <w:rsid w:val="000038D1"/>
    <w:rsid w:val="00003E8A"/>
    <w:rsid w:val="00013165"/>
    <w:rsid w:val="00013209"/>
    <w:rsid w:val="00013733"/>
    <w:rsid w:val="00020252"/>
    <w:rsid w:val="00020D14"/>
    <w:rsid w:val="000306B5"/>
    <w:rsid w:val="00031EFE"/>
    <w:rsid w:val="00040811"/>
    <w:rsid w:val="00045DCE"/>
    <w:rsid w:val="00045FC0"/>
    <w:rsid w:val="00065B2D"/>
    <w:rsid w:val="00067F26"/>
    <w:rsid w:val="00071013"/>
    <w:rsid w:val="00071451"/>
    <w:rsid w:val="00071BF8"/>
    <w:rsid w:val="0008195C"/>
    <w:rsid w:val="00082D16"/>
    <w:rsid w:val="00087D62"/>
    <w:rsid w:val="000A4764"/>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6E40"/>
    <w:rsid w:val="00171C98"/>
    <w:rsid w:val="00171E80"/>
    <w:rsid w:val="00174B56"/>
    <w:rsid w:val="00181181"/>
    <w:rsid w:val="00182305"/>
    <w:rsid w:val="00185CFF"/>
    <w:rsid w:val="001931FF"/>
    <w:rsid w:val="001937D4"/>
    <w:rsid w:val="00193A99"/>
    <w:rsid w:val="00196260"/>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5F60"/>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DF0"/>
    <w:rsid w:val="00A16064"/>
    <w:rsid w:val="00A23E56"/>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47A7"/>
    <w:rsid w:val="00DF5860"/>
    <w:rsid w:val="00E00062"/>
    <w:rsid w:val="00E02A43"/>
    <w:rsid w:val="00E07F93"/>
    <w:rsid w:val="00E11C5F"/>
    <w:rsid w:val="00E15287"/>
    <w:rsid w:val="00E16009"/>
    <w:rsid w:val="00E22F1B"/>
    <w:rsid w:val="00E34180"/>
    <w:rsid w:val="00E477D8"/>
    <w:rsid w:val="00E51C1B"/>
    <w:rsid w:val="00E536B2"/>
    <w:rsid w:val="00E66579"/>
    <w:rsid w:val="00E7342E"/>
    <w:rsid w:val="00E7607C"/>
    <w:rsid w:val="00E77150"/>
    <w:rsid w:val="00E809F8"/>
    <w:rsid w:val="00E80E5A"/>
    <w:rsid w:val="00E84AB6"/>
    <w:rsid w:val="00E90D71"/>
    <w:rsid w:val="00E91BDA"/>
    <w:rsid w:val="00E92D27"/>
    <w:rsid w:val="00E95FE6"/>
    <w:rsid w:val="00EA1EE7"/>
    <w:rsid w:val="00EA5488"/>
    <w:rsid w:val="00EB2090"/>
    <w:rsid w:val="00EC0C30"/>
    <w:rsid w:val="00EE3EA3"/>
    <w:rsid w:val="00EE6ACA"/>
    <w:rsid w:val="00EE7FAD"/>
    <w:rsid w:val="00F00F39"/>
    <w:rsid w:val="00F0560B"/>
    <w:rsid w:val="00F11C95"/>
    <w:rsid w:val="00F22DF0"/>
    <w:rsid w:val="00F24D3B"/>
    <w:rsid w:val="00F254B6"/>
    <w:rsid w:val="00F42F26"/>
    <w:rsid w:val="00F444ED"/>
    <w:rsid w:val="00F54E8A"/>
    <w:rsid w:val="00F61BF6"/>
    <w:rsid w:val="00F62E4B"/>
    <w:rsid w:val="00F65828"/>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BC0A-45F2-4B40-97A2-9A6557B2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3217</Words>
  <Characters>17375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2014-03-10T12:58:00Z</dcterms:created>
  <dcterms:modified xsi:type="dcterms:W3CDTF">2014-03-10T12:58:00Z</dcterms:modified>
</cp:coreProperties>
</file>