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B9C" w:rsidRDefault="00090B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90B9C" w:rsidRDefault="00090B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90B9C" w:rsidRPr="002142BC" w:rsidRDefault="00090B9C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90B9C" w:rsidRPr="002142BC" w:rsidRDefault="00090B9C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B9C" w:rsidRPr="002142BC" w:rsidRDefault="00090B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90B9C" w:rsidRPr="002142BC" w:rsidRDefault="00090B9C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90B9C" w:rsidRPr="008C37B4" w:rsidRDefault="00090B9C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C37B4">
        <w:rPr>
          <w:rFonts w:ascii="Times New Roman" w:hAnsi="Times New Roman" w:cs="Times New Roman"/>
          <w:sz w:val="24"/>
          <w:szCs w:val="24"/>
        </w:rPr>
        <w:t xml:space="preserve">O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Mestre Emílio Dias Marques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00.672.655/0001-06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4737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74737"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="00B74737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JOÃO TEIXEIRA JÚNIOR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sz w:val="24"/>
          <w:szCs w:val="24"/>
        </w:rPr>
        <w:t xml:space="preserve">, representado neste ato pelo Presidente do Conselho,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Ione Lopes de Macedo Sousa</w:t>
      </w:r>
      <w:r w:rsidRPr="008C37B4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498.973.651-68</w:t>
      </w:r>
      <w:r w:rsidRPr="008C37B4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786FCF">
        <w:rPr>
          <w:rFonts w:ascii="Times New Roman" w:hAnsi="Times New Roman" w:cs="Times New Roman"/>
          <w:b/>
          <w:noProof/>
          <w:sz w:val="24"/>
          <w:szCs w:val="24"/>
        </w:rPr>
        <w:t>122240101 SSP/GO</w:t>
      </w:r>
      <w:r w:rsidRPr="008C37B4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</w:t>
      </w:r>
      <w:r w:rsidR="00752847">
        <w:rPr>
          <w:rFonts w:ascii="Times New Roman" w:hAnsi="Times New Roman" w:cs="Times New Roman"/>
          <w:sz w:val="24"/>
          <w:szCs w:val="24"/>
        </w:rPr>
        <w:t xml:space="preserve">- para o período de </w:t>
      </w:r>
      <w:r w:rsidR="00752847">
        <w:rPr>
          <w:rFonts w:ascii="Times New Roman" w:hAnsi="Times New Roman" w:cs="Times New Roman"/>
          <w:b/>
          <w:sz w:val="24"/>
          <w:szCs w:val="24"/>
        </w:rPr>
        <w:t>22</w:t>
      </w:r>
      <w:r w:rsidR="00752847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752847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752847">
        <w:rPr>
          <w:rFonts w:ascii="Times New Roman" w:hAnsi="Times New Roman" w:cs="Times New Roman"/>
          <w:sz w:val="24"/>
          <w:szCs w:val="24"/>
        </w:rPr>
        <w:t>de</w:t>
      </w:r>
      <w:r w:rsidR="007528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2847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752847">
        <w:rPr>
          <w:rFonts w:ascii="Times New Roman" w:hAnsi="Times New Roman" w:cs="Times New Roman"/>
          <w:b/>
          <w:bCs/>
          <w:sz w:val="24"/>
          <w:szCs w:val="24"/>
        </w:rPr>
        <w:t>dia 15 de dezembro de 2017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C37B4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Av.Padre Trajano, nº 296-Centro-CEP: 73.900-000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8C37B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90B9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90B9C" w:rsidRPr="003F13EE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90B9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90B9C" w:rsidRPr="0081507D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 (total do período)</w:t>
            </w:r>
          </w:p>
          <w:p w:rsidR="00CA033B" w:rsidRPr="002142BC" w:rsidRDefault="00CA033B" w:rsidP="0015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 xml:space="preserve"> Abóbora 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229,00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215,00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24.66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27D3F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739,80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112,50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3.23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1.453,50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2.29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183,20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361,80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1.018,50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 Catador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6.65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1.197,00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2.03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1.015,00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3.55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1.597,50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EB2894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3.83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383,00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B468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RAPADURINHA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UNID.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2142BC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1.000,00</w:t>
            </w:r>
          </w:p>
        </w:tc>
      </w:tr>
      <w:tr w:rsidR="00CA033B" w:rsidRPr="002142BC" w:rsidTr="00155D3A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B468D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Pr="00EB2894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TOTAL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Default="00CA033B" w:rsidP="00155D3A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A033B" w:rsidRDefault="00CA033B" w:rsidP="00155D3A">
            <w:pPr>
              <w:spacing w:after="15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instrText xml:space="preserve"> =SUM(ABOVE) \# "0,00" </w:instrTex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</w:rPr>
              <w:t>9505,80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fldChar w:fldCharType="end"/>
            </w:r>
          </w:p>
        </w:tc>
      </w:tr>
    </w:tbl>
    <w:p w:rsidR="00090B9C" w:rsidRDefault="00090B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lastRenderedPageBreak/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90B9C" w:rsidRPr="002142BC" w:rsidRDefault="00090B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Não podendo exceder o valor publicado. </w:t>
      </w:r>
    </w:p>
    <w:p w:rsidR="00090B9C" w:rsidRPr="002142BC" w:rsidRDefault="00090B9C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90B9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90B9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90B9C" w:rsidRPr="00A23C18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B9C" w:rsidRDefault="00090B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0B9C" w:rsidRDefault="00090B9C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90B9C" w:rsidRDefault="00090B9C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90B9C" w:rsidRDefault="00090B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90B9C" w:rsidRDefault="00090B9C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90B9C" w:rsidRPr="002142BC" w:rsidRDefault="00090B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90B9C" w:rsidRPr="002142BC" w:rsidRDefault="00090B9C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90B9C" w:rsidRPr="002142BC" w:rsidRDefault="00090B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90B9C" w:rsidRPr="00D35EFE" w:rsidRDefault="00090B9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B9C" w:rsidRDefault="00090B9C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90B9C" w:rsidRDefault="00090B9C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90B9C" w:rsidRPr="002D3F7C" w:rsidRDefault="00090B9C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F7C">
        <w:rPr>
          <w:rFonts w:ascii="Times New Roman" w:hAnsi="Times New Roman" w:cs="Times New Roman"/>
          <w:sz w:val="24"/>
          <w:szCs w:val="24"/>
        </w:rPr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90B9C" w:rsidRPr="00C661C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90B9C" w:rsidRDefault="00090B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90B9C" w:rsidRPr="002142BC" w:rsidRDefault="00090B9C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6. CRITÉRIOS DE SELEÇÃO DOS BENEFICIÁRIOS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90B9C" w:rsidRPr="000360DE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grupo de projetos de fornecedores locais terá prioridade sobre os demais grupos;</w:t>
      </w:r>
    </w:p>
    <w:p w:rsidR="00090B9C" w:rsidRPr="0025098A" w:rsidRDefault="00090B9C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90B9C" w:rsidRPr="002142BC" w:rsidRDefault="00090B9C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90B9C" w:rsidRPr="00212348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90B9C" w:rsidRPr="00DA7F8A" w:rsidRDefault="00090B9C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90B9C" w:rsidRPr="00DA7F8A" w:rsidRDefault="00090B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90B9C" w:rsidRPr="00DA7F8A" w:rsidRDefault="00090B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90B9C" w:rsidRDefault="00090B9C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90B9C" w:rsidRPr="002142BC" w:rsidRDefault="00090B9C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90B9C" w:rsidRPr="002142BC" w:rsidRDefault="00090B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90B9C" w:rsidRPr="002142BC" w:rsidRDefault="00090B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90B9C" w:rsidRPr="008D05C0" w:rsidRDefault="0009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</w:t>
      </w:r>
      <w:r w:rsidRPr="008D05C0">
        <w:rPr>
          <w:rFonts w:ascii="Times New Roman" w:hAnsi="Times New Roman" w:cs="Times New Roman"/>
          <w:b/>
          <w:bCs/>
          <w:color w:val="auto"/>
        </w:rPr>
        <w:t xml:space="preserve">PÚBLICA Nº 001/2018 </w:t>
      </w:r>
    </w:p>
    <w:p w:rsidR="00090B9C" w:rsidRPr="008D05C0" w:rsidRDefault="0009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90B9C" w:rsidRPr="008D05C0" w:rsidRDefault="0009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8D05C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0B9C" w:rsidRPr="008D05C0" w:rsidRDefault="00090B9C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90B9C" w:rsidRPr="008D05C0" w:rsidRDefault="00090B9C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90B9C" w:rsidRPr="008D05C0" w:rsidRDefault="0009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90B9C" w:rsidRPr="002142BC" w:rsidRDefault="0009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8D05C0">
        <w:rPr>
          <w:rFonts w:ascii="Times New Roman" w:hAnsi="Times New Roman" w:cs="Times New Roman"/>
          <w:b/>
          <w:bCs/>
          <w:color w:val="auto"/>
        </w:rPr>
        <w:t>ENVELOPE Nº 2 – PROJETO DE VENDA (Nome da Unidade Escolar</w:t>
      </w:r>
      <w:r w:rsidRPr="002142BC">
        <w:rPr>
          <w:rFonts w:ascii="Times New Roman" w:hAnsi="Times New Roman" w:cs="Times New Roman"/>
          <w:b/>
          <w:bCs/>
          <w:color w:val="auto"/>
        </w:rPr>
        <w:t>)</w:t>
      </w:r>
    </w:p>
    <w:p w:rsidR="00090B9C" w:rsidRPr="00796030" w:rsidRDefault="00090B9C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90B9C" w:rsidRPr="002142BC" w:rsidRDefault="00090B9C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90B9C" w:rsidRPr="002142BC" w:rsidRDefault="00090B9C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B9C" w:rsidRPr="002142BC" w:rsidRDefault="00090B9C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90B9C" w:rsidRDefault="00090B9C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90B9C" w:rsidRPr="00A94824" w:rsidRDefault="00090B9C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B9C" w:rsidRPr="0067742C" w:rsidRDefault="00090B9C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90B9C" w:rsidRDefault="00090B9C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B74737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74737"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="00B74737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JOÃO TEIXEIRA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Av.Padre Trajano, nº 296-Centro-CEP: 73.900-000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90B9C" w:rsidRPr="00A94824" w:rsidRDefault="00090B9C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0B9C" w:rsidRPr="0067742C" w:rsidRDefault="00090B9C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90B9C" w:rsidRDefault="00090B9C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B74737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 w:rsidR="00B74737"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="00B74737"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JOÃO TEIXEIRA JÚNIOR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Av.Padre Trajano, nº 296-Centro-CEP: 73.900-000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Posse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90B9C" w:rsidRDefault="00090B9C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90B9C" w:rsidRDefault="00090B9C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B74737" w:rsidRDefault="00B74737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90B9C" w:rsidRPr="0081507D" w:rsidRDefault="00090B9C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90B9C" w:rsidRPr="002142BC" w:rsidRDefault="00090B9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90B9C" w:rsidRPr="002142BC" w:rsidRDefault="00090B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90B9C" w:rsidRPr="002142BC" w:rsidRDefault="00090B9C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90B9C" w:rsidRPr="00202E28" w:rsidRDefault="00090B9C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90B9C" w:rsidRDefault="00090B9C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90B9C" w:rsidRDefault="00090B9C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90B9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90B9C" w:rsidRPr="002C2B84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90B9C" w:rsidRPr="002C2B84" w:rsidRDefault="00090B9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E.Ex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;</w:t>
      </w:r>
    </w:p>
    <w:p w:rsidR="00090B9C" w:rsidRPr="002C2B84" w:rsidRDefault="00090B9C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90B9C" w:rsidRPr="002C2B84" w:rsidRDefault="00090B9C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90B9C" w:rsidRPr="002142BC" w:rsidRDefault="00090B9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90B9C" w:rsidRPr="002142BC" w:rsidRDefault="00090B9C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90B9C" w:rsidRPr="00F67F20" w:rsidRDefault="00090B9C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90B9C" w:rsidRPr="002142BC" w:rsidRDefault="00090B9C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90B9C" w:rsidRDefault="00090B9C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90B9C" w:rsidRPr="005B7D74" w:rsidRDefault="00090B9C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90B9C" w:rsidRPr="008C37B4" w:rsidRDefault="00090B9C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Posse</w:t>
      </w:r>
      <w:r w:rsidRPr="008C37B4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75284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22 </w:t>
      </w: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752847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de</w:t>
      </w:r>
      <w:proofErr w:type="spellEnd"/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2017.</w:t>
      </w:r>
    </w:p>
    <w:p w:rsidR="00090B9C" w:rsidRPr="008C37B4" w:rsidRDefault="00090B9C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B9C" w:rsidRPr="008C37B4" w:rsidRDefault="0009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Ione Lopes de Macedo Sousa</w:t>
      </w:r>
    </w:p>
    <w:p w:rsidR="00090B9C" w:rsidRPr="008C37B4" w:rsidRDefault="0009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90B9C" w:rsidRPr="008C37B4" w:rsidRDefault="0009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90B9C" w:rsidRPr="008C37B4" w:rsidRDefault="00B74737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SCOLA ESTADUAL</w:t>
      </w:r>
      <w:r w:rsidRPr="00786FCF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DR. JOÃO TEIXEIRA JÚNIOR</w:t>
      </w:r>
    </w:p>
    <w:p w:rsidR="00090B9C" w:rsidRDefault="0009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90B9C" w:rsidSect="00090B9C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8C37B4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90B9C" w:rsidRPr="008C37B4" w:rsidRDefault="00090B9C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90B9C" w:rsidRPr="008C37B4" w:rsidSect="00090B9C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B9C" w:rsidRDefault="00090B9C" w:rsidP="004C0DC1">
      <w:pPr>
        <w:spacing w:after="0" w:line="240" w:lineRule="auto"/>
      </w:pPr>
      <w:r>
        <w:separator/>
      </w:r>
    </w:p>
  </w:endnote>
  <w:endnote w:type="continuationSeparator" w:id="0">
    <w:p w:rsidR="00090B9C" w:rsidRDefault="00090B9C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9C" w:rsidRDefault="00090B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9C" w:rsidRDefault="00090B9C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90B9C" w:rsidRPr="009A613B" w:rsidRDefault="00090B9C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90B9C" w:rsidRPr="004667FA" w:rsidRDefault="00090B9C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90B9C" w:rsidRDefault="00090B9C" w:rsidP="00882B6E">
    <w:pPr>
      <w:pStyle w:val="Rodap"/>
    </w:pPr>
  </w:p>
  <w:p w:rsidR="00090B9C" w:rsidRPr="00283531" w:rsidRDefault="00090B9C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9C" w:rsidRDefault="00090B9C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5A6388" w:rsidRPr="009A613B" w:rsidRDefault="005A6388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5A6388" w:rsidRPr="004667FA" w:rsidRDefault="005A6388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5A6388" w:rsidRDefault="005A6388" w:rsidP="00882B6E">
    <w:pPr>
      <w:pStyle w:val="Rodap"/>
    </w:pPr>
  </w:p>
  <w:p w:rsidR="005A6388" w:rsidRPr="00283531" w:rsidRDefault="005A6388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B9C" w:rsidRDefault="00090B9C" w:rsidP="004C0DC1">
      <w:pPr>
        <w:spacing w:after="0" w:line="240" w:lineRule="auto"/>
      </w:pPr>
      <w:r>
        <w:separator/>
      </w:r>
    </w:p>
  </w:footnote>
  <w:footnote w:type="continuationSeparator" w:id="0">
    <w:p w:rsidR="00090B9C" w:rsidRDefault="00090B9C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9C" w:rsidRDefault="00090B9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9C" w:rsidRDefault="00090B9C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0B9C" w:rsidRDefault="00090B9C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388" w:rsidRDefault="005A638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519A0"/>
    <w:rsid w:val="00067E0B"/>
    <w:rsid w:val="00073055"/>
    <w:rsid w:val="000803E9"/>
    <w:rsid w:val="00082716"/>
    <w:rsid w:val="00090B9C"/>
    <w:rsid w:val="000A0F5A"/>
    <w:rsid w:val="000C6CB2"/>
    <w:rsid w:val="000D00E9"/>
    <w:rsid w:val="000D0376"/>
    <w:rsid w:val="000D14C3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3F7C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834F3"/>
    <w:rsid w:val="00487908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A6388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2847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5410"/>
    <w:rsid w:val="0088266E"/>
    <w:rsid w:val="00882B6E"/>
    <w:rsid w:val="00884D87"/>
    <w:rsid w:val="008856FB"/>
    <w:rsid w:val="008918E4"/>
    <w:rsid w:val="008C37B4"/>
    <w:rsid w:val="008C4187"/>
    <w:rsid w:val="008D05C0"/>
    <w:rsid w:val="008D216C"/>
    <w:rsid w:val="008F18A2"/>
    <w:rsid w:val="008F1E6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4737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033B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5588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735A7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26B4D-58CD-40ED-8B27-D139D4993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2580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Elisa Gonçalves Pereira Caixeta</cp:lastModifiedBy>
  <cp:revision>4</cp:revision>
  <cp:lastPrinted>2016-05-12T13:00:00Z</cp:lastPrinted>
  <dcterms:created xsi:type="dcterms:W3CDTF">2017-11-10T16:40:00Z</dcterms:created>
  <dcterms:modified xsi:type="dcterms:W3CDTF">2017-11-21T16:20:00Z</dcterms:modified>
</cp:coreProperties>
</file>