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8B31C82"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22173F">
        <w:rPr>
          <w:rFonts w:ascii="Times New Roman" w:hAnsi="Times New Roman" w:cs="Times New Roman"/>
          <w:color w:val="000000"/>
          <w:sz w:val="24"/>
          <w:szCs w:val="24"/>
        </w:rPr>
        <w:t xml:space="preserve">O </w:t>
      </w:r>
      <w:r w:rsidRPr="0022173F">
        <w:rPr>
          <w:rFonts w:ascii="Times New Roman" w:hAnsi="Times New Roman" w:cs="Times New Roman"/>
          <w:bCs/>
          <w:color w:val="000000"/>
          <w:sz w:val="24"/>
          <w:szCs w:val="24"/>
        </w:rPr>
        <w:t>CONSELHO ESCOLAR</w:t>
      </w:r>
      <w:r w:rsidRPr="0022173F">
        <w:rPr>
          <w:rFonts w:ascii="Times New Roman" w:hAnsi="Times New Roman" w:cs="Times New Roman"/>
          <w:b/>
          <w:bCs/>
          <w:color w:val="000000"/>
          <w:sz w:val="24"/>
          <w:szCs w:val="24"/>
        </w:rPr>
        <w:t xml:space="preserve"> </w:t>
      </w:r>
      <w:r w:rsidR="006F086A" w:rsidRPr="0022173F">
        <w:rPr>
          <w:rFonts w:ascii="Times New Roman" w:hAnsi="Times New Roman" w:cs="Times New Roman"/>
          <w:b/>
          <w:bCs/>
          <w:color w:val="000000"/>
          <w:sz w:val="24"/>
          <w:szCs w:val="24"/>
        </w:rPr>
        <w:t>COMUNITÁRIO ANTENOR PADILHA</w:t>
      </w:r>
      <w:r w:rsidRPr="0022173F">
        <w:rPr>
          <w:rFonts w:ascii="Times New Roman" w:hAnsi="Times New Roman" w:cs="Times New Roman"/>
          <w:bCs/>
          <w:color w:val="000000"/>
          <w:sz w:val="24"/>
          <w:szCs w:val="24"/>
        </w:rPr>
        <w:t>,</w:t>
      </w:r>
      <w:r w:rsidRPr="0022173F">
        <w:rPr>
          <w:rFonts w:ascii="Times New Roman" w:hAnsi="Times New Roman" w:cs="Times New Roman"/>
          <w:b/>
          <w:bCs/>
          <w:color w:val="000000"/>
          <w:sz w:val="24"/>
          <w:szCs w:val="24"/>
        </w:rPr>
        <w:t xml:space="preserve">  </w:t>
      </w:r>
      <w:r w:rsidRPr="0022173F">
        <w:rPr>
          <w:rFonts w:ascii="Times New Roman" w:hAnsi="Times New Roman" w:cs="Times New Roman"/>
          <w:bCs/>
          <w:color w:val="000000"/>
          <w:sz w:val="24"/>
          <w:szCs w:val="24"/>
        </w:rPr>
        <w:t>inscrito no</w:t>
      </w:r>
      <w:r w:rsidRPr="0022173F">
        <w:rPr>
          <w:rFonts w:ascii="Times New Roman" w:hAnsi="Times New Roman" w:cs="Times New Roman"/>
          <w:b/>
          <w:bCs/>
          <w:color w:val="000000"/>
          <w:sz w:val="24"/>
          <w:szCs w:val="24"/>
        </w:rPr>
        <w:t xml:space="preserve"> CNPJ sob nº </w:t>
      </w:r>
      <w:r w:rsidR="006F086A" w:rsidRPr="0022173F">
        <w:rPr>
          <w:rFonts w:ascii="Times New Roman" w:hAnsi="Times New Roman" w:cs="Times New Roman"/>
          <w:b/>
          <w:bCs/>
          <w:color w:val="000000"/>
          <w:sz w:val="24"/>
          <w:szCs w:val="24"/>
        </w:rPr>
        <w:t>00.673.667/0001-55</w:t>
      </w:r>
      <w:r w:rsidRPr="0022173F">
        <w:rPr>
          <w:rFonts w:ascii="Times New Roman" w:hAnsi="Times New Roman" w:cs="Times New Roman"/>
          <w:b/>
          <w:bCs/>
          <w:color w:val="000000"/>
          <w:sz w:val="24"/>
          <w:szCs w:val="24"/>
        </w:rPr>
        <w:t xml:space="preserve">, </w:t>
      </w:r>
      <w:r w:rsidRPr="0022173F">
        <w:rPr>
          <w:rFonts w:ascii="Times New Roman" w:hAnsi="Times New Roman" w:cs="Times New Roman"/>
          <w:color w:val="000000"/>
          <w:sz w:val="24"/>
          <w:szCs w:val="24"/>
        </w:rPr>
        <w:t>pessoa jurídica de direito público interno, do (a)</w:t>
      </w:r>
      <w:r w:rsidRPr="0022173F">
        <w:rPr>
          <w:rFonts w:ascii="Times New Roman" w:hAnsi="Times New Roman" w:cs="Times New Roman"/>
          <w:b/>
          <w:bCs/>
          <w:color w:val="000000"/>
          <w:sz w:val="24"/>
          <w:szCs w:val="24"/>
        </w:rPr>
        <w:t xml:space="preserve"> </w:t>
      </w:r>
      <w:r w:rsidR="006F086A" w:rsidRPr="0022173F">
        <w:rPr>
          <w:rFonts w:ascii="Times New Roman" w:hAnsi="Times New Roman" w:cs="Times New Roman"/>
          <w:b/>
          <w:bCs/>
          <w:color w:val="000000"/>
          <w:sz w:val="24"/>
          <w:szCs w:val="24"/>
        </w:rPr>
        <w:t>COLÉGIO ESTADUAL ANTENOR PADILHA</w:t>
      </w:r>
      <w:r w:rsidRPr="0022173F">
        <w:rPr>
          <w:rFonts w:ascii="Times New Roman" w:hAnsi="Times New Roman" w:cs="Times New Roman"/>
          <w:b/>
          <w:bCs/>
          <w:color w:val="000000"/>
          <w:sz w:val="24"/>
          <w:szCs w:val="24"/>
        </w:rPr>
        <w:t xml:space="preserve">, </w:t>
      </w:r>
      <w:r w:rsidRPr="0022173F">
        <w:rPr>
          <w:rFonts w:ascii="Times New Roman" w:hAnsi="Times New Roman" w:cs="Times New Roman"/>
          <w:color w:val="000000"/>
          <w:sz w:val="24"/>
          <w:szCs w:val="24"/>
        </w:rPr>
        <w:t xml:space="preserve">sediada no município de </w:t>
      </w:r>
      <w:r w:rsidR="006F086A" w:rsidRPr="0022173F">
        <w:rPr>
          <w:rFonts w:ascii="Times New Roman" w:hAnsi="Times New Roman" w:cs="Times New Roman"/>
          <w:b/>
          <w:color w:val="000000"/>
          <w:sz w:val="24"/>
          <w:szCs w:val="24"/>
        </w:rPr>
        <w:t>IVOLÂNDIA</w:t>
      </w:r>
      <w:r w:rsidRPr="0022173F">
        <w:rPr>
          <w:rFonts w:ascii="Times New Roman" w:hAnsi="Times New Roman" w:cs="Times New Roman"/>
          <w:b/>
          <w:color w:val="000000"/>
          <w:sz w:val="24"/>
          <w:szCs w:val="24"/>
        </w:rPr>
        <w:t>/GO</w:t>
      </w:r>
      <w:r w:rsidRPr="0022173F">
        <w:rPr>
          <w:rFonts w:ascii="Times New Roman" w:hAnsi="Times New Roman" w:cs="Times New Roman"/>
          <w:color w:val="000000"/>
          <w:sz w:val="24"/>
          <w:szCs w:val="24"/>
        </w:rPr>
        <w:t xml:space="preserve">, </w:t>
      </w:r>
      <w:r w:rsidRPr="0022173F">
        <w:rPr>
          <w:rFonts w:ascii="Times New Roman" w:hAnsi="Times New Roman" w:cs="Times New Roman"/>
          <w:bCs/>
          <w:color w:val="000000"/>
          <w:sz w:val="24"/>
          <w:szCs w:val="24"/>
        </w:rPr>
        <w:t xml:space="preserve">jurisdicionada a </w:t>
      </w:r>
      <w:r w:rsidRPr="0022173F">
        <w:rPr>
          <w:rFonts w:ascii="Times New Roman" w:hAnsi="Times New Roman" w:cs="Times New Roman"/>
          <w:b/>
          <w:bCs/>
          <w:color w:val="000000"/>
          <w:sz w:val="24"/>
          <w:szCs w:val="24"/>
        </w:rPr>
        <w:t xml:space="preserve">COORDENAÇÃO REGIONAL DE EDUCAÇÃO DE </w:t>
      </w:r>
      <w:r w:rsidR="006F086A" w:rsidRPr="0022173F">
        <w:rPr>
          <w:rFonts w:ascii="Times New Roman" w:hAnsi="Times New Roman" w:cs="Times New Roman"/>
          <w:b/>
          <w:bCs/>
          <w:color w:val="000000"/>
          <w:sz w:val="24"/>
          <w:szCs w:val="24"/>
        </w:rPr>
        <w:t>SÃO LUÍS DE MONTES BELOS</w:t>
      </w:r>
      <w:r w:rsidRPr="0022173F">
        <w:rPr>
          <w:rFonts w:ascii="Times New Roman" w:hAnsi="Times New Roman" w:cs="Times New Roman"/>
          <w:b/>
          <w:bCs/>
          <w:color w:val="000000"/>
          <w:sz w:val="24"/>
          <w:szCs w:val="24"/>
        </w:rPr>
        <w:t>-GO</w:t>
      </w:r>
      <w:r w:rsidRPr="0022173F">
        <w:rPr>
          <w:rFonts w:ascii="Times New Roman" w:hAnsi="Times New Roman" w:cs="Times New Roman"/>
          <w:color w:val="000000"/>
          <w:sz w:val="24"/>
          <w:szCs w:val="24"/>
        </w:rPr>
        <w:t xml:space="preserve">, representada neste ato pelo Presidente do Conselho Escolar, </w:t>
      </w:r>
      <w:r w:rsidR="006F086A" w:rsidRPr="0022173F">
        <w:rPr>
          <w:rFonts w:ascii="Times New Roman" w:hAnsi="Times New Roman" w:cs="Times New Roman"/>
          <w:b/>
          <w:color w:val="000000"/>
          <w:sz w:val="24"/>
          <w:szCs w:val="24"/>
        </w:rPr>
        <w:t>MAGDA SEABRA GUIMARÃES DE MENEZES</w:t>
      </w:r>
      <w:r w:rsidRPr="0022173F">
        <w:rPr>
          <w:rFonts w:ascii="Times New Roman" w:hAnsi="Times New Roman" w:cs="Times New Roman"/>
          <w:color w:val="000000"/>
          <w:sz w:val="24"/>
          <w:szCs w:val="24"/>
        </w:rPr>
        <w:t xml:space="preserve">, inscrito (a) no CPF nº </w:t>
      </w:r>
      <w:r w:rsidR="006F086A" w:rsidRPr="0022173F">
        <w:rPr>
          <w:rFonts w:ascii="Times New Roman" w:hAnsi="Times New Roman" w:cs="Times New Roman"/>
          <w:b/>
          <w:color w:val="000000"/>
          <w:sz w:val="24"/>
          <w:szCs w:val="24"/>
        </w:rPr>
        <w:t>787.727.531-53</w:t>
      </w:r>
      <w:r w:rsidRPr="0022173F">
        <w:rPr>
          <w:rFonts w:ascii="Times New Roman" w:hAnsi="Times New Roman" w:cs="Times New Roman"/>
          <w:color w:val="000000"/>
          <w:sz w:val="24"/>
          <w:szCs w:val="24"/>
        </w:rPr>
        <w:t xml:space="preserve">, Carteira de Identidade nº </w:t>
      </w:r>
      <w:r w:rsidR="006F086A" w:rsidRPr="0022173F">
        <w:rPr>
          <w:rFonts w:ascii="Times New Roman" w:hAnsi="Times New Roman" w:cs="Times New Roman"/>
          <w:b/>
          <w:color w:val="000000"/>
          <w:sz w:val="24"/>
          <w:szCs w:val="24"/>
        </w:rPr>
        <w:t>3121122</w:t>
      </w:r>
      <w:r w:rsidR="00D3137C" w:rsidRPr="0022173F">
        <w:rPr>
          <w:rFonts w:ascii="Times New Roman" w:hAnsi="Times New Roman" w:cs="Times New Roman"/>
          <w:b/>
          <w:color w:val="000000"/>
          <w:sz w:val="24"/>
          <w:szCs w:val="24"/>
        </w:rPr>
        <w:t xml:space="preserve"> 2ª via</w:t>
      </w:r>
      <w:r w:rsidR="006F086A" w:rsidRPr="0022173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15B94">
        <w:rPr>
          <w:rFonts w:ascii="Times New Roman" w:hAnsi="Times New Roman" w:cs="Times New Roman"/>
          <w:b/>
          <w:color w:val="000000"/>
          <w:sz w:val="24"/>
          <w:szCs w:val="24"/>
        </w:rPr>
        <w:t>25/11/2019 a 13/012/2019 com abertura dia 16/12/2019</w:t>
      </w:r>
      <w:r w:rsidR="00715B94">
        <w:rPr>
          <w:rFonts w:ascii="Times New Roman" w:hAnsi="Times New Roman" w:cs="Times New Roman"/>
          <w:b/>
          <w:bCs/>
          <w:color w:val="000000"/>
          <w:sz w:val="24"/>
          <w:szCs w:val="24"/>
        </w:rPr>
        <w:t>,</w:t>
      </w:r>
      <w:r w:rsidR="00715B94">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F086A" w:rsidRPr="0022173F">
        <w:rPr>
          <w:rFonts w:ascii="Times New Roman" w:hAnsi="Times New Roman" w:cs="Times New Roman"/>
          <w:b/>
          <w:bCs/>
          <w:color w:val="000000"/>
          <w:sz w:val="24"/>
          <w:szCs w:val="24"/>
        </w:rPr>
        <w:t xml:space="preserve">Avenida Rio claro nº 225 – Centro – </w:t>
      </w:r>
      <w:proofErr w:type="spellStart"/>
      <w:r w:rsidR="006F086A" w:rsidRPr="0022173F">
        <w:rPr>
          <w:rFonts w:ascii="Times New Roman" w:hAnsi="Times New Roman" w:cs="Times New Roman"/>
          <w:b/>
          <w:bCs/>
          <w:color w:val="000000"/>
          <w:sz w:val="24"/>
          <w:szCs w:val="24"/>
        </w:rPr>
        <w:t>Ivolândia</w:t>
      </w:r>
      <w:proofErr w:type="spellEnd"/>
      <w:r w:rsidR="006F086A" w:rsidRPr="0022173F">
        <w:rPr>
          <w:rFonts w:ascii="Times New Roman" w:hAnsi="Times New Roman" w:cs="Times New Roman"/>
          <w:b/>
          <w:bCs/>
          <w:color w:val="000000"/>
          <w:sz w:val="24"/>
          <w:szCs w:val="24"/>
        </w:rPr>
        <w:t>/GO</w:t>
      </w:r>
      <w:r w:rsidRPr="0022173F">
        <w:rPr>
          <w:rFonts w:ascii="Times New Roman" w:hAnsi="Times New Roman" w:cs="Times New Roman"/>
          <w:b/>
          <w:bCs/>
          <w:color w:val="000000"/>
          <w:sz w:val="24"/>
          <w:szCs w:val="24"/>
        </w:rPr>
        <w:t>, e-mail</w:t>
      </w:r>
      <w:r w:rsidR="00D3137C" w:rsidRPr="0022173F">
        <w:rPr>
          <w:rFonts w:ascii="Times New Roman" w:hAnsi="Times New Roman" w:cs="Times New Roman"/>
          <w:b/>
          <w:bCs/>
          <w:color w:val="000000"/>
          <w:sz w:val="24"/>
          <w:szCs w:val="24"/>
        </w:rPr>
        <w:t>:</w:t>
      </w:r>
      <w:r w:rsidR="006F086A" w:rsidRPr="0022173F">
        <w:rPr>
          <w:rFonts w:ascii="Times New Roman" w:hAnsi="Times New Roman" w:cs="Times New Roman"/>
          <w:b/>
          <w:bCs/>
          <w:color w:val="000000"/>
          <w:sz w:val="24"/>
          <w:szCs w:val="24"/>
        </w:rPr>
        <w:t xml:space="preserve"> </w:t>
      </w:r>
      <w:hyperlink r:id="rId8" w:history="1">
        <w:r w:rsidR="00D3137C" w:rsidRPr="0022173F">
          <w:rPr>
            <w:rStyle w:val="Hyperlink"/>
            <w:rFonts w:ascii="Times New Roman" w:hAnsi="Times New Roman" w:cs="Times New Roman"/>
            <w:b/>
            <w:bCs/>
            <w:sz w:val="24"/>
            <w:szCs w:val="24"/>
          </w:rPr>
          <w:t>52027678@seduc.go.gov.br</w:t>
        </w:r>
      </w:hyperlink>
      <w:r w:rsidR="00D3137C" w:rsidRPr="0022173F">
        <w:rPr>
          <w:rFonts w:ascii="Times New Roman" w:hAnsi="Times New Roman" w:cs="Times New Roman"/>
          <w:b/>
          <w:bCs/>
          <w:color w:val="000000"/>
          <w:sz w:val="24"/>
          <w:szCs w:val="24"/>
        </w:rPr>
        <w:t>, Telefone:</w:t>
      </w:r>
      <w:r w:rsidRPr="0022173F">
        <w:rPr>
          <w:rFonts w:ascii="Times New Roman" w:hAnsi="Times New Roman" w:cs="Times New Roman"/>
          <w:b/>
          <w:bCs/>
          <w:color w:val="000000"/>
          <w:sz w:val="24"/>
          <w:szCs w:val="24"/>
        </w:rPr>
        <w:t xml:space="preserve"> (</w:t>
      </w:r>
      <w:r w:rsidR="006F086A" w:rsidRPr="0022173F">
        <w:rPr>
          <w:rFonts w:ascii="Times New Roman" w:hAnsi="Times New Roman" w:cs="Times New Roman"/>
          <w:b/>
          <w:bCs/>
          <w:color w:val="000000"/>
          <w:sz w:val="24"/>
          <w:szCs w:val="24"/>
        </w:rPr>
        <w:t>64) 3685-1217</w:t>
      </w:r>
      <w:r w:rsidRPr="0022173F">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4E477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04D8D164"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5EEE65D1"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17DAD06"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2569686"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B0A43AC"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E47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67152470"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461A9CCE"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0A917C39"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5207DBC5" w:rsidR="007452F0" w:rsidRPr="004D1BE8" w:rsidRDefault="004E477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606E9B2E" w:rsidR="007452F0" w:rsidRPr="004D1BE8" w:rsidRDefault="004E477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7FE64D7D" w:rsidR="007452F0" w:rsidRPr="004D1BE8" w:rsidRDefault="004E477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MADURA</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11CDD4B6" w:rsidR="007452F0"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36831C92" w:rsidR="007452F0"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31,913</w:t>
            </w:r>
          </w:p>
        </w:tc>
        <w:tc>
          <w:tcPr>
            <w:tcW w:w="671" w:type="pct"/>
            <w:tcBorders>
              <w:top w:val="outset" w:sz="6" w:space="0" w:color="auto"/>
              <w:left w:val="outset" w:sz="6" w:space="0" w:color="auto"/>
              <w:bottom w:val="outset" w:sz="6" w:space="0" w:color="auto"/>
              <w:right w:val="outset" w:sz="6" w:space="0" w:color="auto"/>
            </w:tcBorders>
            <w:vAlign w:val="center"/>
          </w:tcPr>
          <w:p w14:paraId="59A122D7" w14:textId="24B39C33" w:rsidR="007452F0"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29" w:type="pct"/>
            <w:tcBorders>
              <w:top w:val="outset" w:sz="6" w:space="0" w:color="auto"/>
              <w:left w:val="outset" w:sz="6" w:space="0" w:color="auto"/>
              <w:bottom w:val="outset" w:sz="6" w:space="0" w:color="auto"/>
              <w:right w:val="outset" w:sz="6" w:space="0" w:color="auto"/>
            </w:tcBorders>
            <w:vAlign w:val="center"/>
          </w:tcPr>
          <w:p w14:paraId="15C27DC8" w14:textId="46C37FC0" w:rsidR="007452F0" w:rsidRPr="004D1BE8" w:rsidRDefault="004E477F" w:rsidP="00231066">
            <w:pPr>
              <w:jc w:val="right"/>
              <w:rPr>
                <w:rFonts w:ascii="Times New Roman" w:hAnsi="Times New Roman" w:cs="Times New Roman"/>
                <w:color w:val="333333"/>
                <w:sz w:val="24"/>
                <w:szCs w:val="24"/>
              </w:rPr>
            </w:pPr>
            <w:r>
              <w:rPr>
                <w:rFonts w:ascii="Times New Roman" w:hAnsi="Times New Roman" w:cs="Times New Roman"/>
                <w:color w:val="333333"/>
                <w:sz w:val="24"/>
                <w:szCs w:val="24"/>
              </w:rPr>
              <w:t>R$ 127,65</w:t>
            </w:r>
          </w:p>
        </w:tc>
      </w:tr>
      <w:tr w:rsidR="00231066" w:rsidRPr="004D1BE8" w14:paraId="23E47B81"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4ADEDAE2"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3AA9FC2F" w:rsidR="00231066" w:rsidRPr="004D1BE8" w:rsidRDefault="004E477F" w:rsidP="0023106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VERDE</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766BA232"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2BE6E2B0"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671" w:type="pct"/>
            <w:tcBorders>
              <w:top w:val="outset" w:sz="6" w:space="0" w:color="auto"/>
              <w:left w:val="outset" w:sz="6" w:space="0" w:color="auto"/>
              <w:bottom w:val="outset" w:sz="6" w:space="0" w:color="auto"/>
              <w:right w:val="outset" w:sz="6" w:space="0" w:color="auto"/>
            </w:tcBorders>
            <w:vAlign w:val="center"/>
          </w:tcPr>
          <w:p w14:paraId="1D88D7A4" w14:textId="4D9F62C1"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1029" w:type="pct"/>
            <w:tcBorders>
              <w:top w:val="outset" w:sz="6" w:space="0" w:color="auto"/>
              <w:left w:val="outset" w:sz="6" w:space="0" w:color="auto"/>
              <w:bottom w:val="outset" w:sz="6" w:space="0" w:color="auto"/>
              <w:right w:val="outset" w:sz="6" w:space="0" w:color="auto"/>
            </w:tcBorders>
            <w:vAlign w:val="center"/>
          </w:tcPr>
          <w:p w14:paraId="25C579F5" w14:textId="6A056F32" w:rsidR="00231066" w:rsidRPr="004D1BE8" w:rsidRDefault="004E477F" w:rsidP="00231066">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R$ 124,70</w:t>
            </w:r>
          </w:p>
        </w:tc>
      </w:tr>
      <w:tr w:rsidR="00231066" w:rsidRPr="004D1BE8" w14:paraId="5E8998BC"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0C4A2DEA"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0E0AFB1A"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503F1D2E"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7672DE98"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14B86B59"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13041064"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R$ 130,50</w:t>
            </w:r>
          </w:p>
        </w:tc>
      </w:tr>
      <w:tr w:rsidR="00231066" w:rsidRPr="004D1BE8" w14:paraId="11CB10C5"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6DF5AD5A"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2C7DC2BF"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2627E8D7"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55922F3A"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6533DE3F"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R$ 5,10</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265B0489"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R$ 918,00</w:t>
            </w:r>
          </w:p>
        </w:tc>
      </w:tr>
      <w:tr w:rsidR="00231066" w:rsidRPr="004D1BE8" w14:paraId="76BCE7E9"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3123CC40"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796A6E6D"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495A47AB"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642AB79C"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057EA479"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R$ 5,20</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35C4C9BD"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R$ 520,00</w:t>
            </w:r>
          </w:p>
        </w:tc>
      </w:tr>
      <w:tr w:rsidR="00231066" w:rsidRPr="004D1BE8" w14:paraId="09E74FC4"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088FFAB3"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5FD7EBBA"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0213C971"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55D2B8F5"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83</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19787189"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R$ 2,40</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4EB1D0C2"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R$ 199,20</w:t>
            </w:r>
          </w:p>
        </w:tc>
      </w:tr>
      <w:tr w:rsidR="00231066" w:rsidRPr="004D1BE8" w14:paraId="1E3F2092"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1D8A8FC"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320CD4D1"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74C496B2"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100E6E51"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4720673A"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41F4FD93"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R$ 408,50</w:t>
            </w:r>
          </w:p>
        </w:tc>
      </w:tr>
      <w:tr w:rsidR="00231066" w:rsidRPr="004D1BE8" w14:paraId="3333453D"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107670C0"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0DC1F3A5"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4EA9924D"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BANDEJA C/ 5 ESPIGAS</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14AACEB4"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071A503E"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663D6A42"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R$ 325,00</w:t>
            </w:r>
          </w:p>
        </w:tc>
      </w:tr>
      <w:tr w:rsidR="00231066" w:rsidRPr="004D1BE8" w14:paraId="6B078502"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06C03D8C"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35D4B0E0"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79F2D0F1"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77C8887C"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5DD9C8D7"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R$ 6,70</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5E48CD3A"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R$ 187,60</w:t>
            </w:r>
          </w:p>
        </w:tc>
      </w:tr>
      <w:tr w:rsidR="00231066" w:rsidRPr="004D1BE8" w14:paraId="1FCC8351"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61790B5A"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7B3125CD"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15CC51C0"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6616CC97"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4FA87E9F"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R$ 4,20</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5DABF323"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R$ 210,00</w:t>
            </w:r>
          </w:p>
        </w:tc>
      </w:tr>
      <w:tr w:rsidR="00231066" w:rsidRPr="004D1BE8" w14:paraId="4210A186"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06D858D"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60FF8F24"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30DC40E4"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16A8952F"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66812A1C"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R$ 7,00</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26E56A15"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R$ 665,00</w:t>
            </w:r>
          </w:p>
        </w:tc>
      </w:tr>
      <w:tr w:rsidR="00231066" w:rsidRPr="004D1BE8" w14:paraId="7E25188A" w14:textId="77777777" w:rsidTr="004E477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4A2B83D1" w:rsidR="00231066" w:rsidRPr="004D1BE8" w:rsidRDefault="004E477F" w:rsidP="0023106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204518B7" w:rsidR="00231066" w:rsidRPr="004D1BE8" w:rsidRDefault="004E477F" w:rsidP="002310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311CBABD"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6C264976" w:rsidR="00231066" w:rsidRPr="004D1BE8" w:rsidRDefault="004E477F" w:rsidP="0023106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764BA2FE" w:rsidR="00231066" w:rsidRPr="004D1BE8" w:rsidRDefault="004E477F" w:rsidP="0023106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R$ 4,99</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78D5868D" w:rsidR="00231066" w:rsidRPr="004D1BE8" w:rsidRDefault="004E477F" w:rsidP="0023106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R$ 99,80</w:t>
            </w:r>
          </w:p>
        </w:tc>
      </w:tr>
      <w:tr w:rsidR="00ED7F04" w:rsidRPr="004D1BE8" w14:paraId="53C400D0" w14:textId="77777777" w:rsidTr="004E477F">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ACA4731" w:rsidR="00ED7F04" w:rsidRPr="004D1BE8" w:rsidRDefault="004E477F" w:rsidP="00ED7F0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2DCA559B" w:rsidR="00ED7F04" w:rsidRPr="004D1BE8" w:rsidRDefault="004E477F" w:rsidP="008F06F9">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3.915,95</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F06905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amostras dos gêneros alimentícios especificados nesta Chamada Pública deverão ser entregues na Unidade </w:t>
      </w:r>
      <w:r w:rsidRPr="0022173F">
        <w:rPr>
          <w:rFonts w:ascii="Times New Roman" w:hAnsi="Times New Roman" w:cs="Times New Roman"/>
          <w:sz w:val="24"/>
          <w:szCs w:val="24"/>
        </w:rPr>
        <w:t xml:space="preserve">Escolar </w:t>
      </w:r>
      <w:bookmarkStart w:id="0" w:name="_Hlk24972335"/>
      <w:r w:rsidR="00D3137C" w:rsidRPr="0022173F">
        <w:rPr>
          <w:rFonts w:ascii="Times New Roman" w:hAnsi="Times New Roman" w:cs="Times New Roman"/>
          <w:b/>
          <w:sz w:val="24"/>
          <w:szCs w:val="24"/>
        </w:rPr>
        <w:t>COLÉGIO ESTADUAL ANTENOR PADILHA</w:t>
      </w:r>
      <w:r w:rsidRPr="0022173F">
        <w:rPr>
          <w:rFonts w:ascii="Times New Roman" w:hAnsi="Times New Roman" w:cs="Times New Roman"/>
          <w:bCs/>
          <w:sz w:val="24"/>
          <w:szCs w:val="24"/>
        </w:rPr>
        <w:t xml:space="preserve">, situada à </w:t>
      </w:r>
      <w:r w:rsidR="00D3137C" w:rsidRPr="0022173F">
        <w:rPr>
          <w:rFonts w:ascii="Times New Roman" w:hAnsi="Times New Roman" w:cs="Times New Roman"/>
          <w:b/>
          <w:bCs/>
          <w:sz w:val="24"/>
          <w:szCs w:val="24"/>
        </w:rPr>
        <w:t>AV. RIO CLARO Nº 225 – CENTRO</w:t>
      </w:r>
      <w:r w:rsidRPr="0022173F">
        <w:rPr>
          <w:rFonts w:ascii="Times New Roman" w:hAnsi="Times New Roman" w:cs="Times New Roman"/>
          <w:bCs/>
          <w:sz w:val="24"/>
          <w:szCs w:val="24"/>
        </w:rPr>
        <w:t xml:space="preserve">, município de </w:t>
      </w:r>
      <w:r w:rsidR="00D3137C" w:rsidRPr="0022173F">
        <w:rPr>
          <w:rFonts w:ascii="Times New Roman" w:hAnsi="Times New Roman" w:cs="Times New Roman"/>
          <w:b/>
          <w:bCs/>
          <w:sz w:val="24"/>
          <w:szCs w:val="24"/>
        </w:rPr>
        <w:t>IVOLÂNDIA/GO</w:t>
      </w:r>
      <w:bookmarkEnd w:id="0"/>
      <w:r w:rsidRPr="0022173F">
        <w:rPr>
          <w:rFonts w:ascii="Times New Roman" w:hAnsi="Times New Roman" w:cs="Times New Roman"/>
          <w:sz w:val="24"/>
          <w:szCs w:val="24"/>
        </w:rPr>
        <w:t>,</w:t>
      </w:r>
      <w:r w:rsidRPr="0022173F">
        <w:rPr>
          <w:rFonts w:ascii="Times New Roman" w:hAnsi="Times New Roman" w:cs="Times New Roman"/>
          <w:color w:val="FF0000"/>
          <w:sz w:val="24"/>
          <w:szCs w:val="24"/>
        </w:rPr>
        <w:t xml:space="preserve"> </w:t>
      </w:r>
      <w:r w:rsidRPr="0022173F">
        <w:rPr>
          <w:rFonts w:ascii="Times New Roman" w:hAnsi="Times New Roman" w:cs="Times New Roman"/>
          <w:sz w:val="24"/>
          <w:szCs w:val="24"/>
        </w:rPr>
        <w:t>para avaliação e seleção dos produtos a serem</w:t>
      </w:r>
      <w:r w:rsidRPr="004D1BE8">
        <w:rPr>
          <w:rFonts w:ascii="Times New Roman" w:hAnsi="Times New Roman" w:cs="Times New Roman"/>
          <w:sz w:val="24"/>
          <w:szCs w:val="24"/>
        </w:rPr>
        <w:t xml:space="preserve">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14EAF5A2" w:rsidR="007452F0" w:rsidRPr="0022173F"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466673" w:rsidRPr="0022173F">
        <w:rPr>
          <w:rFonts w:ascii="Times New Roman" w:hAnsi="Times New Roman" w:cs="Times New Roman"/>
          <w:b/>
          <w:sz w:val="24"/>
          <w:szCs w:val="24"/>
        </w:rPr>
        <w:t>COLÉGIO ESTADUAL ANTENOR PADILHA</w:t>
      </w:r>
      <w:r w:rsidR="00466673" w:rsidRPr="0022173F">
        <w:rPr>
          <w:rFonts w:ascii="Times New Roman" w:hAnsi="Times New Roman" w:cs="Times New Roman"/>
          <w:bCs/>
          <w:sz w:val="24"/>
          <w:szCs w:val="24"/>
        </w:rPr>
        <w:t xml:space="preserve">, situada à </w:t>
      </w:r>
      <w:r w:rsidR="00466673" w:rsidRPr="0022173F">
        <w:rPr>
          <w:rFonts w:ascii="Times New Roman" w:hAnsi="Times New Roman" w:cs="Times New Roman"/>
          <w:b/>
          <w:bCs/>
          <w:sz w:val="24"/>
          <w:szCs w:val="24"/>
        </w:rPr>
        <w:t>AV. RIO CLARO Nº 225 – CENTRO</w:t>
      </w:r>
      <w:r w:rsidR="00466673" w:rsidRPr="0022173F">
        <w:rPr>
          <w:rFonts w:ascii="Times New Roman" w:hAnsi="Times New Roman" w:cs="Times New Roman"/>
          <w:bCs/>
          <w:sz w:val="24"/>
          <w:szCs w:val="24"/>
        </w:rPr>
        <w:t xml:space="preserve">, município de </w:t>
      </w:r>
      <w:r w:rsidR="00466673" w:rsidRPr="0022173F">
        <w:rPr>
          <w:rFonts w:ascii="Times New Roman" w:hAnsi="Times New Roman" w:cs="Times New Roman"/>
          <w:b/>
          <w:bCs/>
          <w:sz w:val="24"/>
          <w:szCs w:val="24"/>
        </w:rPr>
        <w:t>IVOLÂNDIA/GO</w:t>
      </w:r>
      <w:r w:rsidRPr="0022173F">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0FAD4EE" w:rsidR="007452F0" w:rsidRPr="0022173F" w:rsidRDefault="00466673" w:rsidP="00E600B0">
      <w:pPr>
        <w:spacing w:after="150" w:line="360" w:lineRule="auto"/>
        <w:jc w:val="center"/>
        <w:rPr>
          <w:rFonts w:ascii="Times New Roman" w:hAnsi="Times New Roman" w:cs="Times New Roman"/>
          <w:color w:val="000000"/>
          <w:sz w:val="24"/>
          <w:szCs w:val="24"/>
        </w:rPr>
      </w:pPr>
      <w:r w:rsidRPr="0022173F">
        <w:rPr>
          <w:rFonts w:ascii="Times New Roman" w:hAnsi="Times New Roman" w:cs="Times New Roman"/>
          <w:b/>
          <w:color w:val="000000"/>
          <w:sz w:val="24"/>
          <w:szCs w:val="24"/>
        </w:rPr>
        <w:t>IVOLÂNDIA/GO</w:t>
      </w:r>
      <w:r w:rsidR="007452F0" w:rsidRPr="0022173F">
        <w:rPr>
          <w:rFonts w:ascii="Times New Roman" w:hAnsi="Times New Roman" w:cs="Times New Roman"/>
          <w:color w:val="000000"/>
          <w:sz w:val="24"/>
          <w:szCs w:val="24"/>
        </w:rPr>
        <w:t xml:space="preserve">, aos </w:t>
      </w:r>
      <w:r w:rsidR="00715B94">
        <w:rPr>
          <w:rFonts w:ascii="Times New Roman" w:hAnsi="Times New Roman" w:cs="Times New Roman"/>
          <w:b/>
          <w:color w:val="000000"/>
          <w:sz w:val="24"/>
          <w:szCs w:val="24"/>
        </w:rPr>
        <w:t>25</w:t>
      </w:r>
      <w:r w:rsidRPr="0022173F">
        <w:rPr>
          <w:rFonts w:ascii="Times New Roman" w:hAnsi="Times New Roman" w:cs="Times New Roman"/>
          <w:color w:val="000000"/>
          <w:sz w:val="24"/>
          <w:szCs w:val="24"/>
        </w:rPr>
        <w:t xml:space="preserve"> </w:t>
      </w:r>
      <w:r w:rsidR="007452F0" w:rsidRPr="0022173F">
        <w:rPr>
          <w:rFonts w:ascii="Times New Roman" w:hAnsi="Times New Roman" w:cs="Times New Roman"/>
          <w:color w:val="000000"/>
          <w:sz w:val="24"/>
          <w:szCs w:val="24"/>
        </w:rPr>
        <w:t xml:space="preserve">dias do mês de </w:t>
      </w:r>
      <w:r w:rsidR="00715B94">
        <w:rPr>
          <w:rFonts w:ascii="Times New Roman" w:hAnsi="Times New Roman" w:cs="Times New Roman"/>
          <w:b/>
          <w:color w:val="000000"/>
          <w:sz w:val="24"/>
          <w:szCs w:val="24"/>
        </w:rPr>
        <w:t>NOVEMBRO</w:t>
      </w:r>
      <w:bookmarkStart w:id="9" w:name="_GoBack"/>
      <w:bookmarkEnd w:id="9"/>
      <w:r w:rsidR="007452F0" w:rsidRPr="0022173F">
        <w:rPr>
          <w:rFonts w:ascii="Times New Roman" w:hAnsi="Times New Roman" w:cs="Times New Roman"/>
          <w:color w:val="000000"/>
          <w:sz w:val="24"/>
          <w:szCs w:val="24"/>
        </w:rPr>
        <w:t xml:space="preserve"> </w:t>
      </w:r>
      <w:proofErr w:type="spellStart"/>
      <w:r w:rsidR="007452F0" w:rsidRPr="0022173F">
        <w:rPr>
          <w:rFonts w:ascii="Times New Roman" w:hAnsi="Times New Roman" w:cs="Times New Roman"/>
          <w:color w:val="000000"/>
          <w:sz w:val="24"/>
          <w:szCs w:val="24"/>
        </w:rPr>
        <w:t>de</w:t>
      </w:r>
      <w:proofErr w:type="spellEnd"/>
      <w:r w:rsidR="007452F0" w:rsidRPr="0022173F">
        <w:rPr>
          <w:rFonts w:ascii="Times New Roman" w:hAnsi="Times New Roman" w:cs="Times New Roman"/>
          <w:color w:val="000000"/>
          <w:sz w:val="24"/>
          <w:szCs w:val="24"/>
        </w:rPr>
        <w:t xml:space="preserve"> 2019.</w:t>
      </w:r>
    </w:p>
    <w:p w14:paraId="341BCE5C" w14:textId="77777777" w:rsidR="007452F0" w:rsidRPr="0022173F" w:rsidRDefault="007452F0" w:rsidP="00E600B0">
      <w:pPr>
        <w:spacing w:after="150"/>
        <w:jc w:val="center"/>
        <w:rPr>
          <w:rFonts w:ascii="Times New Roman" w:hAnsi="Times New Roman" w:cs="Times New Roman"/>
          <w:color w:val="000000"/>
          <w:sz w:val="24"/>
          <w:szCs w:val="24"/>
        </w:rPr>
      </w:pPr>
    </w:p>
    <w:p w14:paraId="29C87F1B" w14:textId="66596366" w:rsidR="007452F0" w:rsidRPr="0022173F" w:rsidRDefault="00466673" w:rsidP="00E600B0">
      <w:pPr>
        <w:spacing w:after="150"/>
        <w:jc w:val="center"/>
        <w:rPr>
          <w:rFonts w:ascii="Times New Roman" w:hAnsi="Times New Roman" w:cs="Times New Roman"/>
          <w:b/>
          <w:color w:val="000000"/>
          <w:sz w:val="24"/>
          <w:szCs w:val="24"/>
        </w:rPr>
      </w:pPr>
      <w:r w:rsidRPr="0022173F">
        <w:rPr>
          <w:rFonts w:ascii="Times New Roman" w:hAnsi="Times New Roman" w:cs="Times New Roman"/>
          <w:b/>
          <w:color w:val="000000"/>
          <w:sz w:val="24"/>
          <w:szCs w:val="24"/>
        </w:rPr>
        <w:t>MAGDA SEABRA GUIMARÃES DE MENEZES</w:t>
      </w:r>
    </w:p>
    <w:p w14:paraId="0BC106EE" w14:textId="77777777" w:rsidR="007452F0" w:rsidRPr="0022173F" w:rsidRDefault="007452F0" w:rsidP="00E600B0">
      <w:pPr>
        <w:spacing w:after="150"/>
        <w:jc w:val="center"/>
        <w:rPr>
          <w:rFonts w:ascii="Times New Roman" w:hAnsi="Times New Roman" w:cs="Times New Roman"/>
          <w:color w:val="000000"/>
          <w:sz w:val="24"/>
          <w:szCs w:val="24"/>
        </w:rPr>
      </w:pPr>
      <w:r w:rsidRPr="0022173F">
        <w:rPr>
          <w:rFonts w:ascii="Times New Roman" w:hAnsi="Times New Roman" w:cs="Times New Roman"/>
          <w:color w:val="000000"/>
          <w:sz w:val="24"/>
          <w:szCs w:val="24"/>
        </w:rPr>
        <w:t>Presidente do Conselho da Unidade Escolar.</w:t>
      </w:r>
    </w:p>
    <w:p w14:paraId="07337CF4" w14:textId="77777777" w:rsidR="007452F0" w:rsidRPr="0022173F" w:rsidRDefault="007452F0" w:rsidP="00E600B0">
      <w:pPr>
        <w:spacing w:after="150"/>
        <w:jc w:val="center"/>
        <w:rPr>
          <w:rFonts w:ascii="Times New Roman" w:hAnsi="Times New Roman" w:cs="Times New Roman"/>
          <w:color w:val="000000"/>
          <w:sz w:val="24"/>
          <w:szCs w:val="24"/>
        </w:rPr>
      </w:pPr>
    </w:p>
    <w:p w14:paraId="5D4D61B9" w14:textId="21E54CB9" w:rsidR="007452F0" w:rsidRPr="0022173F" w:rsidRDefault="00466673" w:rsidP="00E600B0">
      <w:pPr>
        <w:spacing w:after="150"/>
        <w:jc w:val="center"/>
        <w:rPr>
          <w:rFonts w:ascii="Times New Roman" w:hAnsi="Times New Roman" w:cs="Times New Roman"/>
          <w:color w:val="000000"/>
          <w:sz w:val="24"/>
          <w:szCs w:val="24"/>
        </w:rPr>
      </w:pPr>
      <w:r w:rsidRPr="0022173F">
        <w:rPr>
          <w:rFonts w:ascii="Times New Roman" w:hAnsi="Times New Roman" w:cs="Times New Roman"/>
          <w:b/>
          <w:color w:val="000000"/>
          <w:sz w:val="24"/>
          <w:szCs w:val="24"/>
        </w:rPr>
        <w:t>COLÉGIO ESTADUAL ANTENOR PADILHA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22173F">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459DA" w14:textId="77777777" w:rsidR="00D661C2" w:rsidRDefault="00D661C2" w:rsidP="004C0DC1">
      <w:pPr>
        <w:spacing w:after="0" w:line="240" w:lineRule="auto"/>
      </w:pPr>
      <w:r>
        <w:separator/>
      </w:r>
    </w:p>
  </w:endnote>
  <w:endnote w:type="continuationSeparator" w:id="0">
    <w:p w14:paraId="23639A19" w14:textId="77777777" w:rsidR="00D661C2" w:rsidRDefault="00D661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750CB" w14:textId="77777777" w:rsidR="00D661C2" w:rsidRDefault="00D661C2" w:rsidP="004C0DC1">
      <w:pPr>
        <w:spacing w:after="0" w:line="240" w:lineRule="auto"/>
      </w:pPr>
      <w:r>
        <w:separator/>
      </w:r>
    </w:p>
  </w:footnote>
  <w:footnote w:type="continuationSeparator" w:id="0">
    <w:p w14:paraId="3D7728EA" w14:textId="77777777" w:rsidR="00D661C2" w:rsidRDefault="00D661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4CA8"/>
    <w:rsid w:val="001B5990"/>
    <w:rsid w:val="001C4D6C"/>
    <w:rsid w:val="001D1216"/>
    <w:rsid w:val="001D15D5"/>
    <w:rsid w:val="001D1CEF"/>
    <w:rsid w:val="001D3270"/>
    <w:rsid w:val="001D3BFA"/>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73F"/>
    <w:rsid w:val="00221AC9"/>
    <w:rsid w:val="00226798"/>
    <w:rsid w:val="00227471"/>
    <w:rsid w:val="00231066"/>
    <w:rsid w:val="002332D4"/>
    <w:rsid w:val="00235D95"/>
    <w:rsid w:val="00240050"/>
    <w:rsid w:val="00241C43"/>
    <w:rsid w:val="00242DC6"/>
    <w:rsid w:val="00245873"/>
    <w:rsid w:val="00245934"/>
    <w:rsid w:val="0025098A"/>
    <w:rsid w:val="002525E7"/>
    <w:rsid w:val="00254591"/>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42F2"/>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6673"/>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77F"/>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1616"/>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086A"/>
    <w:rsid w:val="006F3358"/>
    <w:rsid w:val="006F5C99"/>
    <w:rsid w:val="006F6CA8"/>
    <w:rsid w:val="006F709F"/>
    <w:rsid w:val="007000A5"/>
    <w:rsid w:val="00700CC6"/>
    <w:rsid w:val="00703D90"/>
    <w:rsid w:val="00706DDD"/>
    <w:rsid w:val="00706E7D"/>
    <w:rsid w:val="007130AF"/>
    <w:rsid w:val="00715B94"/>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7B1"/>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06F9"/>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D7AD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11CB"/>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0D9"/>
    <w:rsid w:val="00CA64A0"/>
    <w:rsid w:val="00CB064E"/>
    <w:rsid w:val="00CB28FA"/>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137C"/>
    <w:rsid w:val="00D357A7"/>
    <w:rsid w:val="00D35EFE"/>
    <w:rsid w:val="00D37350"/>
    <w:rsid w:val="00D44A9E"/>
    <w:rsid w:val="00D45ED0"/>
    <w:rsid w:val="00D4723F"/>
    <w:rsid w:val="00D5099A"/>
    <w:rsid w:val="00D5421B"/>
    <w:rsid w:val="00D542EA"/>
    <w:rsid w:val="00D57114"/>
    <w:rsid w:val="00D61E61"/>
    <w:rsid w:val="00D625EA"/>
    <w:rsid w:val="00D661C2"/>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D7F04"/>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D3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767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70AE-943F-405A-B585-8E0D2E53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4283</Words>
  <Characters>23131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2019-11-19T20:22:00Z</dcterms:created>
  <dcterms:modified xsi:type="dcterms:W3CDTF">2019-11-26T13:45:00Z</dcterms:modified>
</cp:coreProperties>
</file>