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D5A" w:rsidRDefault="00582D5A" w:rsidP="00244D30">
      <w:pPr>
        <w:autoSpaceDE w:val="0"/>
        <w:autoSpaceDN w:val="0"/>
        <w:adjustRightInd w:val="0"/>
        <w:ind w:left="-567" w:right="-568"/>
        <w:jc w:val="center"/>
        <w:rPr>
          <w:b/>
          <w:bCs/>
          <w:sz w:val="28"/>
          <w:szCs w:val="28"/>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2E16C3">
        <w:rPr>
          <w:sz w:val="22"/>
          <w:szCs w:val="22"/>
        </w:rPr>
        <w:t>:</w:t>
      </w:r>
      <w:r w:rsidR="00016A4D" w:rsidRPr="002E16C3">
        <w:rPr>
          <w:b/>
          <w:sz w:val="22"/>
          <w:szCs w:val="22"/>
        </w:rPr>
        <w:t xml:space="preserve"> </w:t>
      </w:r>
      <w:r w:rsidR="00916CD3">
        <w:rPr>
          <w:b/>
          <w:sz w:val="22"/>
          <w:szCs w:val="22"/>
        </w:rPr>
        <w:t>Reforma</w:t>
      </w:r>
      <w:r w:rsidR="0063796A" w:rsidRPr="002E16C3">
        <w:rPr>
          <w:b/>
          <w:sz w:val="22"/>
          <w:szCs w:val="22"/>
        </w:rPr>
        <w:t>.</w:t>
      </w:r>
    </w:p>
    <w:p w:rsidR="00883840" w:rsidRPr="00A114B6" w:rsidRDefault="00883840" w:rsidP="00D467C7">
      <w:pPr>
        <w:autoSpaceDE w:val="0"/>
        <w:autoSpaceDN w:val="0"/>
        <w:adjustRightInd w:val="0"/>
        <w:spacing w:line="300" w:lineRule="atLeast"/>
        <w:ind w:left="794"/>
        <w:jc w:val="both"/>
        <w:rPr>
          <w:sz w:val="22"/>
          <w:szCs w:val="22"/>
        </w:rPr>
      </w:pPr>
      <w:r w:rsidRPr="00A114B6">
        <w:rPr>
          <w:sz w:val="22"/>
          <w:szCs w:val="22"/>
        </w:rPr>
        <w:t>Unidade:</w:t>
      </w:r>
      <w:r w:rsidR="00016A4D">
        <w:rPr>
          <w:sz w:val="22"/>
          <w:szCs w:val="22"/>
        </w:rPr>
        <w:t xml:space="preserve"> </w:t>
      </w:r>
      <w:r w:rsidR="00E27272" w:rsidRPr="00E27272">
        <w:rPr>
          <w:b/>
          <w:sz w:val="22"/>
          <w:szCs w:val="22"/>
        </w:rPr>
        <w:t>Escola</w:t>
      </w:r>
      <w:r w:rsidR="002E16C3" w:rsidRPr="002E16C3">
        <w:rPr>
          <w:b/>
          <w:sz w:val="22"/>
          <w:szCs w:val="22"/>
        </w:rPr>
        <w:t xml:space="preserve"> Estadual </w:t>
      </w:r>
      <w:r w:rsidR="004E425A" w:rsidRPr="004E425A">
        <w:rPr>
          <w:b/>
          <w:sz w:val="22"/>
          <w:szCs w:val="22"/>
        </w:rPr>
        <w:t>Jos</w:t>
      </w:r>
      <w:r w:rsidR="004E425A">
        <w:rPr>
          <w:b/>
          <w:sz w:val="22"/>
          <w:szCs w:val="22"/>
        </w:rPr>
        <w:t>é</w:t>
      </w:r>
      <w:r w:rsidR="004E425A" w:rsidRPr="004E425A">
        <w:rPr>
          <w:b/>
          <w:sz w:val="22"/>
          <w:szCs w:val="22"/>
        </w:rPr>
        <w:t xml:space="preserve"> </w:t>
      </w:r>
      <w:r w:rsidR="00E27272">
        <w:rPr>
          <w:b/>
          <w:sz w:val="22"/>
          <w:szCs w:val="22"/>
        </w:rPr>
        <w:t>de Faria</w:t>
      </w:r>
      <w:r w:rsidR="004E425A">
        <w:rPr>
          <w:b/>
          <w:sz w:val="22"/>
          <w:szCs w:val="22"/>
        </w:rPr>
        <w:t>.</w:t>
      </w:r>
    </w:p>
    <w:p w:rsidR="00883840" w:rsidRDefault="00883840" w:rsidP="00D467C7">
      <w:pPr>
        <w:autoSpaceDE w:val="0"/>
        <w:autoSpaceDN w:val="0"/>
        <w:adjustRightInd w:val="0"/>
        <w:spacing w:line="300" w:lineRule="atLeast"/>
        <w:ind w:left="794"/>
        <w:jc w:val="both"/>
        <w:rPr>
          <w:b/>
          <w:color w:val="FF0000"/>
          <w:sz w:val="22"/>
          <w:szCs w:val="22"/>
        </w:rPr>
      </w:pPr>
      <w:r w:rsidRPr="00A114B6">
        <w:rPr>
          <w:sz w:val="22"/>
          <w:szCs w:val="22"/>
        </w:rPr>
        <w:t>Endereço:</w:t>
      </w:r>
      <w:r w:rsidR="002E16C3">
        <w:rPr>
          <w:sz w:val="22"/>
          <w:szCs w:val="22"/>
        </w:rPr>
        <w:t xml:space="preserve"> </w:t>
      </w:r>
      <w:r w:rsidR="00E27272">
        <w:rPr>
          <w:b/>
          <w:sz w:val="22"/>
          <w:szCs w:val="22"/>
        </w:rPr>
        <w:t>A</w:t>
      </w:r>
      <w:r w:rsidR="00E27272" w:rsidRPr="00E27272">
        <w:rPr>
          <w:b/>
          <w:sz w:val="22"/>
          <w:szCs w:val="22"/>
        </w:rPr>
        <w:t xml:space="preserve">venida </w:t>
      </w:r>
      <w:r w:rsidR="00E27272">
        <w:rPr>
          <w:b/>
          <w:sz w:val="22"/>
          <w:szCs w:val="22"/>
        </w:rPr>
        <w:t>G</w:t>
      </w:r>
      <w:r w:rsidR="00E27272" w:rsidRPr="00E27272">
        <w:rPr>
          <w:b/>
          <w:sz w:val="22"/>
          <w:szCs w:val="22"/>
        </w:rPr>
        <w:t xml:space="preserve">etúlio </w:t>
      </w:r>
      <w:r w:rsidR="00E27272">
        <w:rPr>
          <w:b/>
          <w:sz w:val="22"/>
          <w:szCs w:val="22"/>
        </w:rPr>
        <w:t>V</w:t>
      </w:r>
      <w:r w:rsidR="00E27272" w:rsidRPr="00E27272">
        <w:rPr>
          <w:b/>
          <w:sz w:val="22"/>
          <w:szCs w:val="22"/>
        </w:rPr>
        <w:t xml:space="preserve">argas, nº 684, </w:t>
      </w:r>
      <w:r w:rsidR="00E27272">
        <w:rPr>
          <w:b/>
          <w:sz w:val="22"/>
          <w:szCs w:val="22"/>
        </w:rPr>
        <w:t>S</w:t>
      </w:r>
      <w:r w:rsidR="00E27272" w:rsidRPr="00E27272">
        <w:rPr>
          <w:b/>
          <w:sz w:val="22"/>
          <w:szCs w:val="22"/>
        </w:rPr>
        <w:t xml:space="preserve">etor </w:t>
      </w:r>
      <w:r w:rsidR="00E27272">
        <w:rPr>
          <w:b/>
          <w:sz w:val="22"/>
          <w:szCs w:val="22"/>
        </w:rPr>
        <w:t>C</w:t>
      </w:r>
      <w:r w:rsidR="00E27272" w:rsidRPr="00E27272">
        <w:rPr>
          <w:b/>
          <w:sz w:val="22"/>
          <w:szCs w:val="22"/>
        </w:rPr>
        <w:t>entral</w:t>
      </w:r>
      <w:r w:rsidR="00E27272">
        <w:rPr>
          <w:b/>
          <w:sz w:val="22"/>
          <w:szCs w:val="22"/>
        </w:rPr>
        <w:t>.</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E27272">
        <w:rPr>
          <w:b/>
          <w:sz w:val="22"/>
          <w:szCs w:val="22"/>
        </w:rPr>
        <w:t>E</w:t>
      </w:r>
      <w:r w:rsidR="00E27272" w:rsidRPr="00E27272">
        <w:rPr>
          <w:b/>
          <w:sz w:val="22"/>
          <w:szCs w:val="22"/>
        </w:rPr>
        <w:t>déia</w:t>
      </w:r>
      <w:r w:rsidR="00E27272">
        <w:rPr>
          <w:b/>
          <w:sz w:val="22"/>
          <w:szCs w:val="22"/>
        </w:rPr>
        <w:t xml:space="preserve"> </w:t>
      </w:r>
      <w:r w:rsidR="00E27272">
        <w:rPr>
          <w:b/>
          <w:sz w:val="22"/>
          <w:szCs w:val="22"/>
        </w:rPr>
        <w:t>-</w:t>
      </w:r>
      <w:r w:rsidR="00E27272">
        <w:rPr>
          <w:b/>
          <w:sz w:val="22"/>
          <w:szCs w:val="22"/>
        </w:rPr>
        <w:t xml:space="preserve"> </w:t>
      </w:r>
      <w:r w:rsidR="00E27272">
        <w:rPr>
          <w:b/>
          <w:sz w:val="22"/>
          <w:szCs w:val="22"/>
        </w:rPr>
        <w:t>GO.</w:t>
      </w:r>
    </w:p>
    <w:p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4E425A" w:rsidRPr="004E425A">
        <w:rPr>
          <w:b/>
          <w:sz w:val="22"/>
          <w:szCs w:val="22"/>
        </w:rPr>
        <w:t>Palmeiras</w:t>
      </w:r>
      <w:r w:rsidRPr="004E425A">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860B2B" w:rsidRDefault="00183E60" w:rsidP="001D5B19">
      <w:pPr>
        <w:autoSpaceDE w:val="0"/>
        <w:autoSpaceDN w:val="0"/>
        <w:adjustRightInd w:val="0"/>
        <w:spacing w:line="300" w:lineRule="atLeast"/>
        <w:ind w:left="794"/>
        <w:jc w:val="both"/>
        <w:rPr>
          <w:sz w:val="22"/>
          <w:szCs w:val="22"/>
        </w:rPr>
      </w:pPr>
      <w:r w:rsidRPr="00183E60">
        <w:rPr>
          <w:sz w:val="22"/>
          <w:szCs w:val="22"/>
        </w:rPr>
        <w:t>A presente contratação justifica-se devido à necessidade de haver locais mais adequados na unidade escolar para dar suporte às atividades</w:t>
      </w:r>
      <w:r>
        <w:rPr>
          <w:sz w:val="22"/>
          <w:szCs w:val="22"/>
        </w:rPr>
        <w:t xml:space="preserve"> </w:t>
      </w:r>
      <w:r w:rsidRPr="00183E60">
        <w:rPr>
          <w:sz w:val="22"/>
          <w:szCs w:val="22"/>
        </w:rPr>
        <w:t>relacionadas com a alimentação</w:t>
      </w:r>
      <w:r w:rsidR="00860B2B">
        <w:rPr>
          <w:sz w:val="22"/>
          <w:szCs w:val="22"/>
        </w:rPr>
        <w:t xml:space="preserve">. </w:t>
      </w:r>
      <w:r w:rsidR="001D5B19">
        <w:rPr>
          <w:sz w:val="22"/>
          <w:szCs w:val="22"/>
        </w:rPr>
        <w:t xml:space="preserve">Para as </w:t>
      </w:r>
      <w:r w:rsidR="001D5B19" w:rsidRPr="00B76D1A">
        <w:rPr>
          <w:sz w:val="22"/>
          <w:szCs w:val="22"/>
        </w:rPr>
        <w:t>melhorias físicas, há a necessidade de adequação da unidade escolar</w:t>
      </w:r>
      <w:r w:rsidR="00CC08F3">
        <w:rPr>
          <w:sz w:val="22"/>
          <w:szCs w:val="22"/>
        </w:rPr>
        <w:t xml:space="preserve"> </w:t>
      </w:r>
      <w:r w:rsidR="007611AE">
        <w:rPr>
          <w:sz w:val="22"/>
          <w:szCs w:val="22"/>
        </w:rPr>
        <w:t xml:space="preserve">com relação </w:t>
      </w:r>
      <w:r w:rsidR="00860B2B">
        <w:rPr>
          <w:sz w:val="22"/>
          <w:szCs w:val="22"/>
        </w:rPr>
        <w:t>aos espaços de preparo e consumo das refeições</w:t>
      </w:r>
      <w:r w:rsidR="00471B30">
        <w:rPr>
          <w:sz w:val="22"/>
          <w:szCs w:val="22"/>
        </w:rPr>
        <w:t xml:space="preserve">, </w:t>
      </w:r>
      <w:r w:rsidR="00860B2B" w:rsidRPr="00860B2B">
        <w:rPr>
          <w:sz w:val="22"/>
          <w:szCs w:val="22"/>
        </w:rPr>
        <w:t xml:space="preserve">sendo de suma importância que tenham um local, para refeitório e cozinha, amplo </w:t>
      </w:r>
      <w:r w:rsidR="00471B30">
        <w:rPr>
          <w:sz w:val="22"/>
          <w:szCs w:val="22"/>
        </w:rPr>
        <w:t xml:space="preserve">e </w:t>
      </w:r>
      <w:r w:rsidR="00860B2B" w:rsidRPr="00860B2B">
        <w:rPr>
          <w:sz w:val="22"/>
          <w:szCs w:val="22"/>
        </w:rPr>
        <w:t>que atenda a demanda.</w:t>
      </w:r>
      <w:r w:rsidR="00471B30">
        <w:rPr>
          <w:sz w:val="22"/>
          <w:szCs w:val="22"/>
        </w:rPr>
        <w:t xml:space="preserve"> </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244D30" w:rsidRPr="00D37A29" w:rsidRDefault="008970CF" w:rsidP="007035DC">
      <w:pPr>
        <w:autoSpaceDE w:val="0"/>
        <w:autoSpaceDN w:val="0"/>
        <w:adjustRightInd w:val="0"/>
        <w:spacing w:line="300" w:lineRule="atLeast"/>
        <w:ind w:left="794"/>
        <w:jc w:val="both"/>
        <w:rPr>
          <w:sz w:val="22"/>
          <w:szCs w:val="22"/>
        </w:rPr>
      </w:pPr>
      <w:r w:rsidRPr="00D37A29">
        <w:rPr>
          <w:sz w:val="22"/>
          <w:szCs w:val="22"/>
        </w:rPr>
        <w:t xml:space="preserve">A </w:t>
      </w:r>
      <w:r w:rsidR="00D37A29">
        <w:rPr>
          <w:sz w:val="22"/>
          <w:szCs w:val="22"/>
        </w:rPr>
        <w:t>obra</w:t>
      </w:r>
      <w:r w:rsidR="00244D30" w:rsidRPr="00D37A29">
        <w:rPr>
          <w:sz w:val="22"/>
          <w:szCs w:val="22"/>
        </w:rPr>
        <w:t xml:space="preserve"> a ser executada nesta unidade escolar é </w:t>
      </w:r>
      <w:r w:rsidR="001A19DB">
        <w:rPr>
          <w:sz w:val="22"/>
          <w:szCs w:val="22"/>
        </w:rPr>
        <w:t xml:space="preserve">a </w:t>
      </w:r>
      <w:r w:rsidR="00E27147">
        <w:rPr>
          <w:sz w:val="22"/>
          <w:szCs w:val="22"/>
        </w:rPr>
        <w:t xml:space="preserve">ampliação e reforma </w:t>
      </w:r>
      <w:r w:rsidR="00471B30">
        <w:rPr>
          <w:sz w:val="22"/>
          <w:szCs w:val="22"/>
        </w:rPr>
        <w:t>da cozinha</w:t>
      </w:r>
      <w:r w:rsidR="00E27147">
        <w:rPr>
          <w:sz w:val="22"/>
          <w:szCs w:val="22"/>
        </w:rPr>
        <w:t xml:space="preserve"> e</w:t>
      </w:r>
      <w:r w:rsidR="003D0554">
        <w:rPr>
          <w:sz w:val="22"/>
          <w:szCs w:val="22"/>
        </w:rPr>
        <w:t xml:space="preserve"> construção de</w:t>
      </w:r>
      <w:r w:rsidR="00E27147">
        <w:rPr>
          <w:sz w:val="22"/>
          <w:szCs w:val="22"/>
        </w:rPr>
        <w:t xml:space="preserve"> r</w:t>
      </w:r>
      <w:r w:rsidR="00471B30">
        <w:rPr>
          <w:sz w:val="22"/>
          <w:szCs w:val="22"/>
        </w:rPr>
        <w:t>efeitório</w:t>
      </w:r>
      <w:r w:rsidR="00E27147">
        <w:rPr>
          <w:sz w:val="22"/>
          <w:szCs w:val="22"/>
        </w:rPr>
        <w:t xml:space="preserve"> </w:t>
      </w:r>
      <w:r w:rsidR="003D0554">
        <w:rPr>
          <w:sz w:val="22"/>
          <w:szCs w:val="22"/>
        </w:rPr>
        <w:t>totalizando uma</w:t>
      </w:r>
      <w:r w:rsidR="00E27147">
        <w:rPr>
          <w:sz w:val="22"/>
          <w:szCs w:val="22"/>
        </w:rPr>
        <w:t xml:space="preserve"> área </w:t>
      </w:r>
      <w:r w:rsidR="00392A0D">
        <w:rPr>
          <w:sz w:val="22"/>
          <w:szCs w:val="22"/>
        </w:rPr>
        <w:t xml:space="preserve">a ser </w:t>
      </w:r>
      <w:r w:rsidR="00E27147">
        <w:rPr>
          <w:sz w:val="22"/>
          <w:szCs w:val="22"/>
        </w:rPr>
        <w:t>construída de 148,10m²</w:t>
      </w:r>
      <w:r w:rsidR="00244D30" w:rsidRPr="00D37A29">
        <w:rPr>
          <w:sz w:val="22"/>
          <w:szCs w:val="22"/>
        </w:rPr>
        <w:t>:</w:t>
      </w:r>
    </w:p>
    <w:p w:rsidR="00CC08F3" w:rsidRPr="00A74D8D" w:rsidRDefault="00CC08F3" w:rsidP="00A74D8D">
      <w:pPr>
        <w:autoSpaceDE w:val="0"/>
        <w:autoSpaceDN w:val="0"/>
        <w:adjustRightInd w:val="0"/>
        <w:ind w:left="357" w:hanging="357"/>
        <w:jc w:val="both"/>
        <w:rPr>
          <w:sz w:val="22"/>
          <w:szCs w:val="22"/>
        </w:rPr>
      </w:pPr>
    </w:p>
    <w:p w:rsidR="00A74D8D" w:rsidRPr="00A74D8D" w:rsidRDefault="00A74D8D" w:rsidP="00A74D8D">
      <w:pPr>
        <w:autoSpaceDE w:val="0"/>
        <w:autoSpaceDN w:val="0"/>
        <w:adjustRightInd w:val="0"/>
        <w:ind w:left="357" w:hanging="357"/>
        <w:jc w:val="both"/>
        <w:rPr>
          <w:sz w:val="22"/>
          <w:szCs w:val="22"/>
        </w:rPr>
      </w:pPr>
    </w:p>
    <w:tbl>
      <w:tblPr>
        <w:tblStyle w:val="Tabelacomgrade"/>
        <w:tblW w:w="0" w:type="auto"/>
        <w:tblInd w:w="794" w:type="dxa"/>
        <w:tblLook w:val="04A0" w:firstRow="1" w:lastRow="0" w:firstColumn="1" w:lastColumn="0" w:noHBand="0" w:noVBand="1"/>
      </w:tblPr>
      <w:tblGrid>
        <w:gridCol w:w="3347"/>
        <w:gridCol w:w="5203"/>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0D4890" w:rsidP="008A20E7">
            <w:pPr>
              <w:adjustRightInd w:val="0"/>
              <w:spacing w:line="300" w:lineRule="atLeast"/>
              <w:jc w:val="center"/>
              <w:rPr>
                <w:rFonts w:ascii="Times New Roman" w:hAnsi="Times New Roman"/>
                <w:color w:val="FF0000"/>
                <w:sz w:val="20"/>
                <w:szCs w:val="20"/>
              </w:rPr>
            </w:pPr>
            <w:r w:rsidRPr="000D4890">
              <w:rPr>
                <w:rFonts w:ascii="Times New Roman" w:hAnsi="Times New Roman"/>
                <w:sz w:val="20"/>
                <w:szCs w:val="20"/>
              </w:rPr>
              <w:t>REFORMA</w:t>
            </w:r>
            <w:r w:rsidR="00B434F6">
              <w:rPr>
                <w:rFonts w:ascii="Times New Roman" w:hAnsi="Times New Roman"/>
                <w:sz w:val="20"/>
                <w:szCs w:val="20"/>
              </w:rPr>
              <w:t xml:space="preserve"> E AMPLIAÇÃO</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956F9C" w:rsidRDefault="00956F9C" w:rsidP="00244D30">
      <w:pPr>
        <w:autoSpaceDE w:val="0"/>
        <w:autoSpaceDN w:val="0"/>
        <w:adjustRightInd w:val="0"/>
        <w:ind w:left="357" w:hanging="357"/>
        <w:jc w:val="both"/>
        <w:rPr>
          <w:sz w:val="22"/>
          <w:szCs w:val="22"/>
        </w:rPr>
      </w:pPr>
    </w:p>
    <w:p w:rsidR="00F34840" w:rsidRPr="00A114B6" w:rsidRDefault="00F34840"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Default="00244D30" w:rsidP="00343306">
      <w:pPr>
        <w:pStyle w:val="PargrafodaLista"/>
        <w:rPr>
          <w:rFonts w:ascii="Times New Roman" w:hAnsi="Times New Roman"/>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lastRenderedPageBreak/>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Default="00244D30" w:rsidP="00244D30">
      <w:pPr>
        <w:autoSpaceDE w:val="0"/>
        <w:autoSpaceDN w:val="0"/>
        <w:adjustRightInd w:val="0"/>
        <w:jc w:val="both"/>
        <w:rPr>
          <w:b/>
          <w:bCs/>
          <w:sz w:val="22"/>
          <w:szCs w:val="22"/>
        </w:rPr>
      </w:pPr>
    </w:p>
    <w:p w:rsidR="00A74D8D" w:rsidRDefault="00A74D8D" w:rsidP="00244D30">
      <w:pPr>
        <w:autoSpaceDE w:val="0"/>
        <w:autoSpaceDN w:val="0"/>
        <w:adjustRightInd w:val="0"/>
        <w:jc w:val="both"/>
        <w:rPr>
          <w:b/>
          <w:bCs/>
          <w:sz w:val="22"/>
          <w:szCs w:val="22"/>
        </w:rPr>
      </w:pPr>
    </w:p>
    <w:p w:rsidR="0089522E" w:rsidRDefault="0089522E" w:rsidP="00244D30">
      <w:pPr>
        <w:autoSpaceDE w:val="0"/>
        <w:autoSpaceDN w:val="0"/>
        <w:adjustRightInd w:val="0"/>
        <w:jc w:val="both"/>
        <w:rPr>
          <w:b/>
          <w:bCs/>
          <w:sz w:val="22"/>
          <w:szCs w:val="22"/>
        </w:rPr>
      </w:pPr>
    </w:p>
    <w:p w:rsidR="0089522E" w:rsidRPr="00A114B6" w:rsidRDefault="0089522E" w:rsidP="00244D30">
      <w:pPr>
        <w:autoSpaceDE w:val="0"/>
        <w:autoSpaceDN w:val="0"/>
        <w:adjustRightInd w:val="0"/>
        <w:jc w:val="both"/>
        <w:rPr>
          <w:b/>
          <w:bCs/>
          <w:sz w:val="22"/>
          <w:szCs w:val="22"/>
        </w:rPr>
      </w:pPr>
      <w:bookmarkStart w:id="0" w:name="_GoBack"/>
      <w:bookmarkEnd w:id="0"/>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lastRenderedPageBreak/>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390670"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390670" w:rsidRPr="00482F05" w:rsidRDefault="00390670" w:rsidP="00390670">
      <w:pPr>
        <w:pStyle w:val="PargrafodaLista"/>
        <w:autoSpaceDE w:val="0"/>
        <w:autoSpaceDN w:val="0"/>
        <w:adjustRightInd w:val="0"/>
        <w:spacing w:after="0" w:line="300" w:lineRule="atLeast"/>
        <w:ind w:left="794"/>
        <w:jc w:val="both"/>
        <w:rPr>
          <w:rFonts w:ascii="Times New Roman" w:hAnsi="Times New Roman"/>
          <w:b/>
          <w:bCs/>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Default="001C53B4" w:rsidP="001C53B4">
      <w:pPr>
        <w:pStyle w:val="PargrafodaLista"/>
        <w:spacing w:after="0" w:line="300" w:lineRule="atLeast"/>
        <w:ind w:left="1758"/>
        <w:jc w:val="both"/>
        <w:rPr>
          <w:rFonts w:ascii="Times New Roman" w:hAnsi="Times New Roman"/>
        </w:rPr>
      </w:pPr>
    </w:p>
    <w:p w:rsidR="00482F05" w:rsidRPr="00A114B6" w:rsidRDefault="00482F05"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667AC7" w:rsidRPr="00667AC7" w:rsidRDefault="00667AC7" w:rsidP="00667AC7">
      <w:pPr>
        <w:pStyle w:val="PargrafodaLista"/>
        <w:numPr>
          <w:ilvl w:val="1"/>
          <w:numId w:val="5"/>
        </w:numPr>
        <w:autoSpaceDE w:val="0"/>
        <w:autoSpaceDN w:val="0"/>
        <w:adjustRightInd w:val="0"/>
        <w:spacing w:line="300" w:lineRule="atLeast"/>
        <w:jc w:val="both"/>
        <w:rPr>
          <w:rFonts w:ascii="Times New Roman" w:hAnsi="Times New Roman"/>
        </w:rPr>
      </w:pPr>
      <w:r w:rsidRPr="00667AC7">
        <w:rPr>
          <w:rFonts w:ascii="Times New Roman" w:hAnsi="Times New Roman"/>
        </w:rPr>
        <w:t xml:space="preserve">Ampliação e </w:t>
      </w:r>
      <w:r>
        <w:rPr>
          <w:rFonts w:ascii="Times New Roman" w:hAnsi="Times New Roman"/>
        </w:rPr>
        <w:t>R</w:t>
      </w:r>
      <w:r w:rsidRPr="00667AC7">
        <w:rPr>
          <w:rFonts w:ascii="Times New Roman" w:hAnsi="Times New Roman"/>
        </w:rPr>
        <w:t xml:space="preserve">eforma de </w:t>
      </w:r>
      <w:r>
        <w:rPr>
          <w:rFonts w:ascii="Times New Roman" w:hAnsi="Times New Roman"/>
        </w:rPr>
        <w:t>C</w:t>
      </w:r>
      <w:r w:rsidRPr="00667AC7">
        <w:rPr>
          <w:rFonts w:ascii="Times New Roman" w:hAnsi="Times New Roman"/>
        </w:rPr>
        <w:t>ozinha/</w:t>
      </w:r>
      <w:r>
        <w:rPr>
          <w:rFonts w:ascii="Times New Roman" w:hAnsi="Times New Roman"/>
        </w:rPr>
        <w:t>R</w:t>
      </w:r>
      <w:r w:rsidRPr="00667AC7">
        <w:rPr>
          <w:rFonts w:ascii="Times New Roman" w:hAnsi="Times New Roman"/>
        </w:rPr>
        <w:t>efeitório:</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Demolição de esquadrias existentes (portas e janelas);</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xml:space="preserve">- Demolição de bancadas (pias, tanques, </w:t>
      </w:r>
      <w:r w:rsidRPr="00667AC7">
        <w:rPr>
          <w:rFonts w:ascii="Times New Roman" w:hAnsi="Times New Roman"/>
        </w:rPr>
        <w:t>balcão</w:t>
      </w:r>
      <w:r w:rsidRPr="00667AC7">
        <w:rPr>
          <w:rFonts w:ascii="Times New Roman" w:hAnsi="Times New Roman"/>
        </w:rPr>
        <w:t xml:space="preserve"> de distribuição de refeições);</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xml:space="preserve">- Demolição de instalações elétricas e </w:t>
      </w:r>
      <w:proofErr w:type="spellStart"/>
      <w:r>
        <w:rPr>
          <w:rFonts w:ascii="Times New Roman" w:hAnsi="Times New Roman"/>
        </w:rPr>
        <w:t>h</w:t>
      </w:r>
      <w:r w:rsidRPr="00667AC7">
        <w:rPr>
          <w:rFonts w:ascii="Times New Roman" w:hAnsi="Times New Roman"/>
        </w:rPr>
        <w:t>idrossanitárias</w:t>
      </w:r>
      <w:proofErr w:type="spellEnd"/>
      <w:r w:rsidRPr="00667AC7">
        <w:rPr>
          <w:rFonts w:ascii="Times New Roman" w:hAnsi="Times New Roman"/>
        </w:rPr>
        <w:t>;</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xml:space="preserve">- Demolição de cobertura em telha cerâmica tipo </w:t>
      </w:r>
      <w:proofErr w:type="spellStart"/>
      <w:r w:rsidRPr="00667AC7">
        <w:rPr>
          <w:rFonts w:ascii="Times New Roman" w:hAnsi="Times New Roman"/>
        </w:rPr>
        <w:t>plan</w:t>
      </w:r>
      <w:proofErr w:type="spellEnd"/>
      <w:r w:rsidRPr="00667AC7">
        <w:rPr>
          <w:rFonts w:ascii="Times New Roman" w:hAnsi="Times New Roman"/>
        </w:rPr>
        <w:t xml:space="preserve"> e estrutura metálica de sustentação;</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Demolição de piso em cimento queimado;</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Demolição de contrapiso e passeios em concreto desempenado;</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lastRenderedPageBreak/>
        <w:t>- Demolição de alvenaria;</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Corte, destoca e remoção de árvores existentes;</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gabarito e locação da obra;</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fundações em blocos sobre estacas;</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estrutura em concreto armado;</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Impermeabilização de vigas baldrame;</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alvenaria em tijolos furados cerâmicos;</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xml:space="preserve">- Execução de instalações </w:t>
      </w:r>
      <w:proofErr w:type="spellStart"/>
      <w:r>
        <w:rPr>
          <w:rFonts w:ascii="Times New Roman" w:hAnsi="Times New Roman"/>
        </w:rPr>
        <w:t>h</w:t>
      </w:r>
      <w:r w:rsidRPr="00667AC7">
        <w:rPr>
          <w:rFonts w:ascii="Times New Roman" w:hAnsi="Times New Roman"/>
        </w:rPr>
        <w:t>idrossanitárias</w:t>
      </w:r>
      <w:proofErr w:type="spellEnd"/>
      <w:r w:rsidRPr="00667AC7">
        <w:rPr>
          <w:rFonts w:ascii="Times New Roman" w:hAnsi="Times New Roman"/>
        </w:rPr>
        <w:t>;</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instalações elétricas;</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xml:space="preserve">- Execução de aterro com </w:t>
      </w:r>
      <w:proofErr w:type="spellStart"/>
      <w:r>
        <w:rPr>
          <w:rFonts w:ascii="Times New Roman" w:hAnsi="Times New Roman"/>
        </w:rPr>
        <w:t>a</w:t>
      </w:r>
      <w:r w:rsidRPr="00667AC7">
        <w:rPr>
          <w:rFonts w:ascii="Times New Roman" w:hAnsi="Times New Roman"/>
        </w:rPr>
        <w:t>piloamento</w:t>
      </w:r>
      <w:proofErr w:type="spellEnd"/>
      <w:r w:rsidRPr="00667AC7">
        <w:rPr>
          <w:rFonts w:ascii="Times New Roman" w:hAnsi="Times New Roman"/>
        </w:rPr>
        <w:t>;</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lastro de concreto impermeabilizado;</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passeio em concreto desempenado;</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chapisco e reboco paulist</w:t>
      </w:r>
      <w:r>
        <w:rPr>
          <w:rFonts w:ascii="Times New Roman" w:hAnsi="Times New Roman"/>
        </w:rPr>
        <w:t>a</w:t>
      </w:r>
      <w:r w:rsidRPr="00667AC7">
        <w:rPr>
          <w:rFonts w:ascii="Times New Roman" w:hAnsi="Times New Roman"/>
        </w:rPr>
        <w:t>;</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Fabricação, pintura e instalação de estrutura metálica de cobertura;</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xml:space="preserve">- Execução de cobertura em telha cerâmica tipo </w:t>
      </w:r>
      <w:proofErr w:type="spellStart"/>
      <w:r w:rsidRPr="00667AC7">
        <w:rPr>
          <w:rFonts w:ascii="Times New Roman" w:hAnsi="Times New Roman"/>
        </w:rPr>
        <w:t>plan</w:t>
      </w:r>
      <w:proofErr w:type="spellEnd"/>
      <w:r w:rsidRPr="00667AC7">
        <w:rPr>
          <w:rFonts w:ascii="Times New Roman" w:hAnsi="Times New Roman"/>
        </w:rPr>
        <w:t>;</w:t>
      </w:r>
    </w:p>
    <w:p w:rsidR="00667AC7" w:rsidRPr="00667AC7" w:rsidRDefault="00667AC7" w:rsidP="00667AC7">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Instalação de rufos metálicos;</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xml:space="preserve">- Execução de piso em </w:t>
      </w:r>
      <w:proofErr w:type="spellStart"/>
      <w:r w:rsidRPr="00667AC7">
        <w:rPr>
          <w:rFonts w:ascii="Times New Roman" w:hAnsi="Times New Roman"/>
        </w:rPr>
        <w:t>granitina</w:t>
      </w:r>
      <w:proofErr w:type="spellEnd"/>
      <w:r w:rsidRPr="00667AC7">
        <w:rPr>
          <w:rFonts w:ascii="Times New Roman" w:hAnsi="Times New Roman"/>
        </w:rPr>
        <w:t xml:space="preserve"> e rodapé;</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emassamento e pintura acrílica (interno);</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revestimento cerâmico (interno);</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pintura em esmalte sintético (externo);</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pintura acrílica (externo);</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Instalação de esquadrias metálicas e vidros;</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pintura de esquadrias metálicas;</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Instalação de bancadas de granito;</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Instalação de cubas de inox;</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Instalação de torneiras, válvulas, sifões e acabamentos;</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Instalação de luminárias e acabamentos.</w:t>
      </w:r>
    </w:p>
    <w:p w:rsidR="00667AC7" w:rsidRPr="00667AC7" w:rsidRDefault="002F1574" w:rsidP="00667AC7">
      <w:pPr>
        <w:pStyle w:val="PargrafodaLista"/>
        <w:numPr>
          <w:ilvl w:val="1"/>
          <w:numId w:val="5"/>
        </w:numPr>
        <w:autoSpaceDE w:val="0"/>
        <w:autoSpaceDN w:val="0"/>
        <w:adjustRightInd w:val="0"/>
        <w:spacing w:line="300" w:lineRule="atLeast"/>
        <w:jc w:val="both"/>
        <w:rPr>
          <w:rFonts w:ascii="Times New Roman" w:hAnsi="Times New Roman"/>
        </w:rPr>
      </w:pPr>
      <w:r w:rsidRPr="00667AC7">
        <w:rPr>
          <w:rFonts w:ascii="Times New Roman" w:hAnsi="Times New Roman"/>
        </w:rPr>
        <w:t>Demolição de bebedouros:</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Demolição de suporte para bebedouro e bebedouro nos blocos 01 e 03;</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Demolição de revestimento cerâmico das paredes onde se encontram os bebedouros;</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Aplicação de nova camada de chapisco e reboco paulista;</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Execução de pintura em esmalte sintético na cor padrão da escola;</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Recuperação do piso no local com aplicação de cimento queimado na cor vermelha.</w:t>
      </w:r>
    </w:p>
    <w:p w:rsidR="00667AC7" w:rsidRPr="00667AC7" w:rsidRDefault="002F1574" w:rsidP="00667AC7">
      <w:pPr>
        <w:pStyle w:val="PargrafodaLista"/>
        <w:numPr>
          <w:ilvl w:val="1"/>
          <w:numId w:val="5"/>
        </w:numPr>
        <w:autoSpaceDE w:val="0"/>
        <w:autoSpaceDN w:val="0"/>
        <w:adjustRightInd w:val="0"/>
        <w:spacing w:line="300" w:lineRule="atLeast"/>
        <w:jc w:val="both"/>
        <w:rPr>
          <w:rFonts w:ascii="Times New Roman" w:hAnsi="Times New Roman"/>
        </w:rPr>
      </w:pPr>
      <w:r w:rsidRPr="00667AC7">
        <w:rPr>
          <w:rFonts w:ascii="Times New Roman" w:hAnsi="Times New Roman"/>
        </w:rPr>
        <w:t>Instalação de tomadas para condicionadores de ar:</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Instalação de tomadas para ar-condicionado em 03 salas de aula no bloco 01;</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Instalação de tomada para ar-condicionado em 01 sala de aula no bloco 02;</w:t>
      </w:r>
    </w:p>
    <w:p w:rsidR="00667AC7" w:rsidRPr="00667AC7" w:rsidRDefault="00667AC7" w:rsidP="002F1574">
      <w:pPr>
        <w:pStyle w:val="PargrafodaLista"/>
        <w:autoSpaceDE w:val="0"/>
        <w:autoSpaceDN w:val="0"/>
        <w:adjustRightInd w:val="0"/>
        <w:spacing w:line="300" w:lineRule="atLeast"/>
        <w:ind w:left="792"/>
        <w:jc w:val="both"/>
        <w:rPr>
          <w:rFonts w:ascii="Times New Roman" w:hAnsi="Times New Roman"/>
        </w:rPr>
      </w:pPr>
      <w:r w:rsidRPr="00667AC7">
        <w:rPr>
          <w:rFonts w:ascii="Times New Roman" w:hAnsi="Times New Roman"/>
        </w:rPr>
        <w:t>- Instalação de tomadas para ar-condicionado em 05 salas de aula no bloco 03;</w:t>
      </w:r>
    </w:p>
    <w:p w:rsidR="00667AC7" w:rsidRDefault="00667AC7" w:rsidP="002F1574">
      <w:pPr>
        <w:pStyle w:val="PargrafodaLista"/>
        <w:autoSpaceDE w:val="0"/>
        <w:autoSpaceDN w:val="0"/>
        <w:adjustRightInd w:val="0"/>
        <w:spacing w:after="0" w:line="300" w:lineRule="atLeast"/>
        <w:ind w:left="792"/>
        <w:jc w:val="both"/>
        <w:rPr>
          <w:rFonts w:ascii="Times New Roman" w:hAnsi="Times New Roman"/>
        </w:rPr>
      </w:pPr>
      <w:r w:rsidRPr="00667AC7">
        <w:rPr>
          <w:rFonts w:ascii="Times New Roman" w:hAnsi="Times New Roman"/>
        </w:rPr>
        <w:t xml:space="preserve">- Efetuar a ligação dos circuitos das tomadas de ar nos respectivos </w:t>
      </w:r>
      <w:proofErr w:type="spellStart"/>
      <w:r w:rsidRPr="00667AC7">
        <w:rPr>
          <w:rFonts w:ascii="Times New Roman" w:hAnsi="Times New Roman"/>
        </w:rPr>
        <w:t>QDG’s</w:t>
      </w:r>
      <w:proofErr w:type="spellEnd"/>
      <w:r w:rsidRPr="00667AC7">
        <w:rPr>
          <w:rFonts w:ascii="Times New Roman" w:hAnsi="Times New Roman"/>
        </w:rPr>
        <w:t>.</w:t>
      </w:r>
    </w:p>
    <w:p w:rsidR="00DC49FC" w:rsidRPr="00664629" w:rsidRDefault="00C66390" w:rsidP="00664629">
      <w:pPr>
        <w:pStyle w:val="PargrafodaLista"/>
        <w:numPr>
          <w:ilvl w:val="1"/>
          <w:numId w:val="5"/>
        </w:numPr>
        <w:autoSpaceDE w:val="0"/>
        <w:autoSpaceDN w:val="0"/>
        <w:adjustRightInd w:val="0"/>
        <w:spacing w:after="0" w:line="300" w:lineRule="atLeast"/>
        <w:jc w:val="both"/>
        <w:rPr>
          <w:rFonts w:ascii="Times New Roman" w:hAnsi="Times New Roman"/>
        </w:rPr>
      </w:pPr>
      <w:r w:rsidRPr="00664629">
        <w:rPr>
          <w:rFonts w:ascii="Times New Roman" w:hAnsi="Times New Roman"/>
        </w:rPr>
        <w:t xml:space="preserve">Providenciar </w:t>
      </w:r>
      <w:r w:rsidR="00DC49FC" w:rsidRPr="00664629">
        <w:rPr>
          <w:rFonts w:ascii="Times New Roman" w:hAnsi="Times New Roman"/>
        </w:rPr>
        <w:t>caçambas para retirada de entulho, restos de materiais da obra e descarte de alg</w:t>
      </w:r>
      <w:r w:rsidR="00F37B23" w:rsidRPr="00664629">
        <w:rPr>
          <w:rFonts w:ascii="Times New Roman" w:hAnsi="Times New Roman"/>
        </w:rPr>
        <w:t>um material não mais utilizável ao longo da execução dos serviços contratados.</w:t>
      </w:r>
    </w:p>
    <w:p w:rsidR="005975EC" w:rsidRDefault="005975EC" w:rsidP="00244D30">
      <w:pPr>
        <w:autoSpaceDE w:val="0"/>
        <w:autoSpaceDN w:val="0"/>
        <w:adjustRightInd w:val="0"/>
        <w:jc w:val="both"/>
        <w:rPr>
          <w:b/>
          <w:bCs/>
          <w:sz w:val="22"/>
          <w:szCs w:val="22"/>
        </w:rPr>
      </w:pPr>
    </w:p>
    <w:p w:rsidR="00390670" w:rsidRDefault="00390670"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lastRenderedPageBreak/>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1671C1">
              <w:rPr>
                <w:rFonts w:eastAsia="Arial Unicode MS"/>
                <w:b/>
              </w:rPr>
              <w:t>R$</w:t>
            </w:r>
            <w:r w:rsidR="003054E2" w:rsidRPr="003054E2">
              <w:rPr>
                <w:rFonts w:eastAsia="Arial Unicode MS"/>
                <w:b/>
              </w:rPr>
              <w:t>277.317,00</w:t>
            </w:r>
            <w:r w:rsidRPr="001671C1">
              <w:rPr>
                <w:rFonts w:eastAsia="Arial Unicode MS"/>
                <w:b/>
              </w:rPr>
              <w:t xml:space="preserve"> – </w:t>
            </w:r>
            <w:r w:rsidR="003054E2">
              <w:rPr>
                <w:rFonts w:eastAsia="Arial Unicode MS"/>
                <w:b/>
              </w:rPr>
              <w:t>DES</w:t>
            </w:r>
            <w:r w:rsidRPr="001671C1">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78345A">
        <w:trPr>
          <w:trHeight w:val="4994"/>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3054E2" w:rsidRPr="003054E2" w:rsidRDefault="003054E2" w:rsidP="003054E2">
            <w:pPr>
              <w:jc w:val="both"/>
              <w:rPr>
                <w:bCs/>
                <w:sz w:val="20"/>
                <w:szCs w:val="20"/>
              </w:rPr>
            </w:pPr>
            <w:r w:rsidRPr="003054E2">
              <w:rPr>
                <w:bCs/>
                <w:sz w:val="20"/>
                <w:szCs w:val="20"/>
              </w:rPr>
              <w:t>SERVIÇOS PRELIMINARES</w:t>
            </w:r>
            <w:r w:rsidRPr="003054E2">
              <w:rPr>
                <w:bCs/>
                <w:sz w:val="20"/>
                <w:szCs w:val="20"/>
              </w:rPr>
              <w:tab/>
            </w:r>
          </w:p>
          <w:p w:rsidR="003054E2" w:rsidRPr="003054E2" w:rsidRDefault="003054E2" w:rsidP="003054E2">
            <w:pPr>
              <w:jc w:val="both"/>
              <w:rPr>
                <w:bCs/>
                <w:sz w:val="20"/>
                <w:szCs w:val="20"/>
              </w:rPr>
            </w:pPr>
            <w:r w:rsidRPr="003054E2">
              <w:rPr>
                <w:bCs/>
                <w:sz w:val="20"/>
                <w:szCs w:val="20"/>
              </w:rPr>
              <w:t>TRANSPORTE</w:t>
            </w:r>
            <w:r w:rsidRPr="003054E2">
              <w:rPr>
                <w:bCs/>
                <w:sz w:val="20"/>
                <w:szCs w:val="20"/>
              </w:rPr>
              <w:tab/>
            </w:r>
          </w:p>
          <w:p w:rsidR="003054E2" w:rsidRPr="003054E2" w:rsidRDefault="003054E2" w:rsidP="003054E2">
            <w:pPr>
              <w:jc w:val="both"/>
              <w:rPr>
                <w:bCs/>
                <w:sz w:val="20"/>
                <w:szCs w:val="20"/>
              </w:rPr>
            </w:pPr>
            <w:r w:rsidRPr="003054E2">
              <w:rPr>
                <w:bCs/>
                <w:sz w:val="20"/>
                <w:szCs w:val="20"/>
              </w:rPr>
              <w:t>SERVIÇOS EM TERRA</w:t>
            </w:r>
            <w:r w:rsidRPr="003054E2">
              <w:rPr>
                <w:bCs/>
                <w:sz w:val="20"/>
                <w:szCs w:val="20"/>
              </w:rPr>
              <w:tab/>
            </w:r>
          </w:p>
          <w:p w:rsidR="003054E2" w:rsidRPr="003054E2" w:rsidRDefault="003054E2" w:rsidP="003054E2">
            <w:pPr>
              <w:jc w:val="both"/>
              <w:rPr>
                <w:bCs/>
                <w:sz w:val="20"/>
                <w:szCs w:val="20"/>
              </w:rPr>
            </w:pPr>
            <w:r w:rsidRPr="003054E2">
              <w:rPr>
                <w:bCs/>
                <w:sz w:val="20"/>
                <w:szCs w:val="20"/>
              </w:rPr>
              <w:t>FUNDAÇÕES E SONDAGENS</w:t>
            </w:r>
            <w:r w:rsidRPr="003054E2">
              <w:rPr>
                <w:bCs/>
                <w:sz w:val="20"/>
                <w:szCs w:val="20"/>
              </w:rPr>
              <w:tab/>
            </w:r>
          </w:p>
          <w:p w:rsidR="003054E2" w:rsidRPr="003054E2" w:rsidRDefault="003054E2" w:rsidP="003054E2">
            <w:pPr>
              <w:jc w:val="both"/>
              <w:rPr>
                <w:bCs/>
                <w:sz w:val="20"/>
                <w:szCs w:val="20"/>
              </w:rPr>
            </w:pPr>
            <w:r w:rsidRPr="003054E2">
              <w:rPr>
                <w:bCs/>
                <w:sz w:val="20"/>
                <w:szCs w:val="20"/>
              </w:rPr>
              <w:t>ESTRUTURA</w:t>
            </w:r>
            <w:r w:rsidRPr="003054E2">
              <w:rPr>
                <w:bCs/>
                <w:sz w:val="20"/>
                <w:szCs w:val="20"/>
              </w:rPr>
              <w:tab/>
            </w:r>
          </w:p>
          <w:p w:rsidR="003054E2" w:rsidRPr="003054E2" w:rsidRDefault="003054E2" w:rsidP="003054E2">
            <w:pPr>
              <w:jc w:val="both"/>
              <w:rPr>
                <w:bCs/>
                <w:sz w:val="20"/>
                <w:szCs w:val="20"/>
              </w:rPr>
            </w:pPr>
            <w:r w:rsidRPr="003054E2">
              <w:rPr>
                <w:bCs/>
                <w:sz w:val="20"/>
                <w:szCs w:val="20"/>
              </w:rPr>
              <w:t>INSTALAÇÕES ELÉTRICAS</w:t>
            </w:r>
            <w:r w:rsidRPr="003054E2">
              <w:rPr>
                <w:bCs/>
                <w:sz w:val="20"/>
                <w:szCs w:val="20"/>
              </w:rPr>
              <w:tab/>
            </w:r>
          </w:p>
          <w:p w:rsidR="003054E2" w:rsidRPr="003054E2" w:rsidRDefault="003054E2" w:rsidP="003054E2">
            <w:pPr>
              <w:jc w:val="both"/>
              <w:rPr>
                <w:bCs/>
                <w:sz w:val="20"/>
                <w:szCs w:val="20"/>
              </w:rPr>
            </w:pPr>
            <w:r w:rsidRPr="003054E2">
              <w:rPr>
                <w:bCs/>
                <w:sz w:val="20"/>
                <w:szCs w:val="20"/>
              </w:rPr>
              <w:t>INSTALAÇÕES HIDROSSANITÁRIAS</w:t>
            </w:r>
            <w:r w:rsidRPr="003054E2">
              <w:rPr>
                <w:bCs/>
                <w:sz w:val="20"/>
                <w:szCs w:val="20"/>
              </w:rPr>
              <w:tab/>
            </w:r>
          </w:p>
          <w:p w:rsidR="003054E2" w:rsidRPr="003054E2" w:rsidRDefault="003054E2" w:rsidP="003054E2">
            <w:pPr>
              <w:jc w:val="both"/>
              <w:rPr>
                <w:bCs/>
                <w:sz w:val="20"/>
                <w:szCs w:val="20"/>
              </w:rPr>
            </w:pPr>
            <w:r w:rsidRPr="003054E2">
              <w:rPr>
                <w:bCs/>
                <w:sz w:val="20"/>
                <w:szCs w:val="20"/>
              </w:rPr>
              <w:t>GÁS</w:t>
            </w:r>
            <w:r w:rsidRPr="003054E2">
              <w:rPr>
                <w:bCs/>
                <w:sz w:val="20"/>
                <w:szCs w:val="20"/>
              </w:rPr>
              <w:tab/>
            </w:r>
          </w:p>
          <w:p w:rsidR="003054E2" w:rsidRPr="003054E2" w:rsidRDefault="003054E2" w:rsidP="003054E2">
            <w:pPr>
              <w:jc w:val="both"/>
              <w:rPr>
                <w:bCs/>
                <w:sz w:val="20"/>
                <w:szCs w:val="20"/>
              </w:rPr>
            </w:pPr>
            <w:r w:rsidRPr="003054E2">
              <w:rPr>
                <w:bCs/>
                <w:sz w:val="20"/>
                <w:szCs w:val="20"/>
              </w:rPr>
              <w:t>ALVENARIAS E DIVISÓRIAS</w:t>
            </w:r>
            <w:r w:rsidRPr="003054E2">
              <w:rPr>
                <w:bCs/>
                <w:sz w:val="20"/>
                <w:szCs w:val="20"/>
              </w:rPr>
              <w:tab/>
            </w:r>
          </w:p>
          <w:p w:rsidR="003054E2" w:rsidRPr="003054E2" w:rsidRDefault="003054E2" w:rsidP="003054E2">
            <w:pPr>
              <w:jc w:val="both"/>
              <w:rPr>
                <w:bCs/>
                <w:sz w:val="20"/>
                <w:szCs w:val="20"/>
              </w:rPr>
            </w:pPr>
            <w:r w:rsidRPr="003054E2">
              <w:rPr>
                <w:bCs/>
                <w:sz w:val="20"/>
                <w:szCs w:val="20"/>
              </w:rPr>
              <w:t>IMPERMEABILIZAÇÃO</w:t>
            </w:r>
            <w:r w:rsidRPr="003054E2">
              <w:rPr>
                <w:bCs/>
                <w:sz w:val="20"/>
                <w:szCs w:val="20"/>
              </w:rPr>
              <w:tab/>
            </w:r>
          </w:p>
          <w:p w:rsidR="003054E2" w:rsidRPr="003054E2" w:rsidRDefault="003054E2" w:rsidP="003054E2">
            <w:pPr>
              <w:jc w:val="both"/>
              <w:rPr>
                <w:bCs/>
                <w:sz w:val="20"/>
                <w:szCs w:val="20"/>
              </w:rPr>
            </w:pPr>
            <w:r w:rsidRPr="003054E2">
              <w:rPr>
                <w:bCs/>
                <w:sz w:val="20"/>
                <w:szCs w:val="20"/>
              </w:rPr>
              <w:t>ESTRUTURA METÁLICA</w:t>
            </w:r>
            <w:r w:rsidRPr="003054E2">
              <w:rPr>
                <w:bCs/>
                <w:sz w:val="20"/>
                <w:szCs w:val="20"/>
              </w:rPr>
              <w:tab/>
            </w:r>
          </w:p>
          <w:p w:rsidR="003054E2" w:rsidRPr="003054E2" w:rsidRDefault="003054E2" w:rsidP="003054E2">
            <w:pPr>
              <w:jc w:val="both"/>
              <w:rPr>
                <w:bCs/>
                <w:sz w:val="20"/>
                <w:szCs w:val="20"/>
              </w:rPr>
            </w:pPr>
            <w:r w:rsidRPr="003054E2">
              <w:rPr>
                <w:bCs/>
                <w:sz w:val="20"/>
                <w:szCs w:val="20"/>
              </w:rPr>
              <w:t>COBERTURAS</w:t>
            </w:r>
            <w:r w:rsidRPr="003054E2">
              <w:rPr>
                <w:bCs/>
                <w:sz w:val="20"/>
                <w:szCs w:val="20"/>
              </w:rPr>
              <w:tab/>
            </w:r>
          </w:p>
          <w:p w:rsidR="003054E2" w:rsidRPr="003054E2" w:rsidRDefault="003054E2" w:rsidP="003054E2">
            <w:pPr>
              <w:jc w:val="both"/>
              <w:rPr>
                <w:bCs/>
                <w:sz w:val="20"/>
                <w:szCs w:val="20"/>
              </w:rPr>
            </w:pPr>
            <w:r w:rsidRPr="003054E2">
              <w:rPr>
                <w:bCs/>
                <w:sz w:val="20"/>
                <w:szCs w:val="20"/>
              </w:rPr>
              <w:t>ESQUADRIAS METÁLICAS</w:t>
            </w:r>
            <w:r w:rsidRPr="003054E2">
              <w:rPr>
                <w:bCs/>
                <w:sz w:val="20"/>
                <w:szCs w:val="20"/>
              </w:rPr>
              <w:tab/>
            </w:r>
          </w:p>
          <w:p w:rsidR="003054E2" w:rsidRPr="003054E2" w:rsidRDefault="003054E2" w:rsidP="003054E2">
            <w:pPr>
              <w:jc w:val="both"/>
              <w:rPr>
                <w:bCs/>
                <w:sz w:val="20"/>
                <w:szCs w:val="20"/>
              </w:rPr>
            </w:pPr>
            <w:r w:rsidRPr="003054E2">
              <w:rPr>
                <w:bCs/>
                <w:sz w:val="20"/>
                <w:szCs w:val="20"/>
              </w:rPr>
              <w:t>VIDROS</w:t>
            </w:r>
            <w:r w:rsidRPr="003054E2">
              <w:rPr>
                <w:bCs/>
                <w:sz w:val="20"/>
                <w:szCs w:val="20"/>
              </w:rPr>
              <w:tab/>
            </w:r>
          </w:p>
          <w:p w:rsidR="003054E2" w:rsidRPr="003054E2" w:rsidRDefault="003054E2" w:rsidP="003054E2">
            <w:pPr>
              <w:jc w:val="both"/>
              <w:rPr>
                <w:bCs/>
                <w:sz w:val="20"/>
                <w:szCs w:val="20"/>
              </w:rPr>
            </w:pPr>
            <w:r w:rsidRPr="003054E2">
              <w:rPr>
                <w:bCs/>
                <w:sz w:val="20"/>
                <w:szCs w:val="20"/>
              </w:rPr>
              <w:t>REVESTIMENTO DE PAREDES</w:t>
            </w:r>
            <w:r w:rsidRPr="003054E2">
              <w:rPr>
                <w:bCs/>
                <w:sz w:val="20"/>
                <w:szCs w:val="20"/>
              </w:rPr>
              <w:tab/>
            </w:r>
          </w:p>
          <w:p w:rsidR="003054E2" w:rsidRPr="003054E2" w:rsidRDefault="003054E2" w:rsidP="003054E2">
            <w:pPr>
              <w:jc w:val="both"/>
              <w:rPr>
                <w:bCs/>
                <w:sz w:val="20"/>
                <w:szCs w:val="20"/>
              </w:rPr>
            </w:pPr>
            <w:r w:rsidRPr="003054E2">
              <w:rPr>
                <w:bCs/>
                <w:sz w:val="20"/>
                <w:szCs w:val="20"/>
              </w:rPr>
              <w:t>FORROS</w:t>
            </w:r>
            <w:r w:rsidRPr="003054E2">
              <w:rPr>
                <w:bCs/>
                <w:sz w:val="20"/>
                <w:szCs w:val="20"/>
              </w:rPr>
              <w:tab/>
            </w:r>
          </w:p>
          <w:p w:rsidR="003054E2" w:rsidRPr="003054E2" w:rsidRDefault="003054E2" w:rsidP="003054E2">
            <w:pPr>
              <w:jc w:val="both"/>
              <w:rPr>
                <w:bCs/>
                <w:sz w:val="20"/>
                <w:szCs w:val="20"/>
              </w:rPr>
            </w:pPr>
            <w:r w:rsidRPr="003054E2">
              <w:rPr>
                <w:bCs/>
                <w:sz w:val="20"/>
                <w:szCs w:val="20"/>
              </w:rPr>
              <w:t>REVESTIMENTO DE PISO</w:t>
            </w:r>
            <w:r w:rsidRPr="003054E2">
              <w:rPr>
                <w:bCs/>
                <w:sz w:val="20"/>
                <w:szCs w:val="20"/>
              </w:rPr>
              <w:tab/>
            </w:r>
          </w:p>
          <w:p w:rsidR="003054E2" w:rsidRPr="003054E2" w:rsidRDefault="003054E2" w:rsidP="003054E2">
            <w:pPr>
              <w:jc w:val="both"/>
              <w:rPr>
                <w:bCs/>
                <w:sz w:val="20"/>
                <w:szCs w:val="20"/>
              </w:rPr>
            </w:pPr>
            <w:r w:rsidRPr="003054E2">
              <w:rPr>
                <w:bCs/>
                <w:sz w:val="20"/>
                <w:szCs w:val="20"/>
              </w:rPr>
              <w:t>FERRAGENS</w:t>
            </w:r>
            <w:r w:rsidRPr="003054E2">
              <w:rPr>
                <w:bCs/>
                <w:sz w:val="20"/>
                <w:szCs w:val="20"/>
              </w:rPr>
              <w:tab/>
            </w:r>
          </w:p>
          <w:p w:rsidR="003054E2" w:rsidRPr="003054E2" w:rsidRDefault="003054E2" w:rsidP="003054E2">
            <w:pPr>
              <w:jc w:val="both"/>
              <w:rPr>
                <w:bCs/>
                <w:sz w:val="20"/>
                <w:szCs w:val="20"/>
              </w:rPr>
            </w:pPr>
            <w:r w:rsidRPr="003054E2">
              <w:rPr>
                <w:bCs/>
                <w:sz w:val="20"/>
                <w:szCs w:val="20"/>
              </w:rPr>
              <w:t>ADMINISTRAÇÃO - MENSALISTAS</w:t>
            </w:r>
            <w:r w:rsidRPr="003054E2">
              <w:rPr>
                <w:bCs/>
                <w:sz w:val="20"/>
                <w:szCs w:val="20"/>
              </w:rPr>
              <w:tab/>
            </w:r>
          </w:p>
          <w:p w:rsidR="003054E2" w:rsidRPr="003054E2" w:rsidRDefault="003054E2" w:rsidP="003054E2">
            <w:pPr>
              <w:jc w:val="both"/>
              <w:rPr>
                <w:bCs/>
                <w:sz w:val="20"/>
                <w:szCs w:val="20"/>
              </w:rPr>
            </w:pPr>
            <w:r w:rsidRPr="003054E2">
              <w:rPr>
                <w:bCs/>
                <w:sz w:val="20"/>
                <w:szCs w:val="20"/>
              </w:rPr>
              <w:t>PINTURA</w:t>
            </w:r>
            <w:r w:rsidRPr="003054E2">
              <w:rPr>
                <w:bCs/>
                <w:sz w:val="20"/>
                <w:szCs w:val="20"/>
              </w:rPr>
              <w:tab/>
            </w:r>
          </w:p>
          <w:p w:rsidR="00C822E0" w:rsidRPr="00D56C5C" w:rsidRDefault="003054E2" w:rsidP="003054E2">
            <w:pPr>
              <w:jc w:val="both"/>
              <w:rPr>
                <w:b/>
                <w:bCs/>
                <w:sz w:val="20"/>
                <w:szCs w:val="20"/>
              </w:rPr>
            </w:pPr>
            <w:r w:rsidRPr="003054E2">
              <w:rPr>
                <w:bCs/>
                <w:sz w:val="20"/>
                <w:szCs w:val="20"/>
              </w:rPr>
              <w:t>DIVERSOS</w:t>
            </w:r>
            <w:r w:rsidRPr="003054E2">
              <w:rPr>
                <w:b/>
                <w:bCs/>
                <w:sz w:val="20"/>
                <w:szCs w:val="20"/>
              </w:rPr>
              <w:tab/>
            </w:r>
            <w:r w:rsidR="00DA476D" w:rsidRPr="00DA476D">
              <w:rPr>
                <w:b/>
                <w:bCs/>
                <w:sz w:val="20"/>
                <w:szCs w:val="20"/>
              </w:rPr>
              <w:tab/>
            </w:r>
            <w:r w:rsidR="00A71EA3" w:rsidRPr="00A71EA3">
              <w:rPr>
                <w:b/>
                <w:bCs/>
                <w:sz w:val="20"/>
                <w:szCs w:val="20"/>
              </w:rPr>
              <w:tab/>
            </w:r>
            <w:r w:rsidR="00A71EA3" w:rsidRPr="00A71EA3">
              <w:rPr>
                <w:b/>
                <w:bCs/>
                <w:sz w:val="20"/>
                <w:szCs w:val="20"/>
              </w:rPr>
              <w:tab/>
            </w:r>
            <w:r w:rsidR="00A71EA3" w:rsidRPr="00A71EA3">
              <w:rPr>
                <w:b/>
                <w:bCs/>
                <w:sz w:val="20"/>
                <w:szCs w:val="20"/>
              </w:rPr>
              <w:tab/>
            </w:r>
            <w:r w:rsidR="00A71EA3" w:rsidRPr="00A71EA3">
              <w:rPr>
                <w:b/>
                <w:bCs/>
                <w:sz w:val="20"/>
                <w:szCs w:val="20"/>
              </w:rPr>
              <w:tab/>
            </w:r>
            <w:r w:rsidR="00A71EA3" w:rsidRPr="00A71EA3">
              <w:rPr>
                <w:b/>
                <w:bCs/>
                <w:sz w:val="20"/>
                <w:szCs w:val="20"/>
              </w:rPr>
              <w:tab/>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9645BB">
            <w:pPr>
              <w:jc w:val="center"/>
              <w:rPr>
                <w:bCs/>
                <w:sz w:val="20"/>
                <w:szCs w:val="20"/>
              </w:rPr>
            </w:pPr>
            <w:r w:rsidRPr="00D56C5C">
              <w:rPr>
                <w:bCs/>
                <w:sz w:val="20"/>
                <w:szCs w:val="20"/>
              </w:rPr>
              <w:t>1</w:t>
            </w:r>
          </w:p>
          <w:p w:rsidR="003A0C1D" w:rsidRPr="00D56C5C" w:rsidRDefault="00C90562" w:rsidP="009645BB">
            <w:pPr>
              <w:jc w:val="center"/>
              <w:rPr>
                <w:bCs/>
                <w:sz w:val="20"/>
                <w:szCs w:val="20"/>
              </w:rPr>
            </w:pPr>
            <w:r w:rsidRPr="00D56C5C">
              <w:rPr>
                <w:bCs/>
                <w:sz w:val="20"/>
                <w:szCs w:val="20"/>
              </w:rPr>
              <w:t>1</w:t>
            </w:r>
          </w:p>
          <w:p w:rsidR="00056E4D" w:rsidRPr="00D56C5C" w:rsidRDefault="00056E4D" w:rsidP="009645BB">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20763C" w:rsidRPr="00D56C5C" w:rsidRDefault="00DA476D" w:rsidP="00885EE2">
            <w:pPr>
              <w:jc w:val="center"/>
              <w:rPr>
                <w:bCs/>
                <w:sz w:val="20"/>
                <w:szCs w:val="20"/>
              </w:rPr>
            </w:pPr>
            <w:r>
              <w:rPr>
                <w:bCs/>
                <w:sz w:val="20"/>
                <w:szCs w:val="20"/>
              </w:rPr>
              <w:t>1</w:t>
            </w:r>
          </w:p>
          <w:p w:rsidR="003A0C1D" w:rsidRPr="00D56C5C" w:rsidRDefault="003A0C1D" w:rsidP="00885EE2">
            <w:pPr>
              <w:jc w:val="center"/>
              <w:rPr>
                <w:bCs/>
                <w:sz w:val="20"/>
                <w:szCs w:val="20"/>
              </w:rPr>
            </w:pPr>
          </w:p>
          <w:p w:rsidR="005F23D9" w:rsidRPr="00CB32F7" w:rsidRDefault="005F23D9" w:rsidP="00885EE2">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A476D" w:rsidRDefault="003A0C1D" w:rsidP="00016A4D">
            <w:pPr>
              <w:jc w:val="center"/>
              <w:rPr>
                <w:bCs/>
                <w:color w:val="FF0000"/>
                <w:sz w:val="20"/>
                <w:szCs w:val="20"/>
              </w:rPr>
            </w:pPr>
          </w:p>
          <w:p w:rsidR="003A0C1D" w:rsidRPr="00DA476D" w:rsidRDefault="003A0C1D" w:rsidP="00016A4D">
            <w:pPr>
              <w:jc w:val="center"/>
              <w:rPr>
                <w:bCs/>
                <w:sz w:val="20"/>
                <w:szCs w:val="20"/>
              </w:rPr>
            </w:pPr>
          </w:p>
          <w:p w:rsidR="003A0C1D" w:rsidRPr="00DA476D" w:rsidRDefault="003A0C1D" w:rsidP="00016A4D">
            <w:pPr>
              <w:jc w:val="center"/>
              <w:rPr>
                <w:bCs/>
                <w:sz w:val="20"/>
                <w:szCs w:val="20"/>
              </w:rPr>
            </w:pPr>
          </w:p>
          <w:p w:rsidR="003A0C1D" w:rsidRPr="00DA476D" w:rsidRDefault="003A0C1D" w:rsidP="00016A4D">
            <w:pPr>
              <w:jc w:val="center"/>
              <w:rPr>
                <w:bCs/>
                <w:sz w:val="20"/>
                <w:szCs w:val="20"/>
              </w:rPr>
            </w:pPr>
          </w:p>
          <w:p w:rsidR="005F23D9" w:rsidRPr="00DA476D" w:rsidRDefault="005F23D9" w:rsidP="00016A4D">
            <w:pPr>
              <w:jc w:val="center"/>
              <w:rPr>
                <w:bCs/>
                <w:color w:val="FF0000"/>
                <w:sz w:val="20"/>
                <w:szCs w:val="20"/>
              </w:rPr>
            </w:pPr>
          </w:p>
          <w:p w:rsidR="00F70BD1" w:rsidRPr="00DA476D" w:rsidRDefault="00F70BD1" w:rsidP="00016A4D">
            <w:pPr>
              <w:jc w:val="center"/>
              <w:rPr>
                <w:bCs/>
                <w:color w:val="FF0000"/>
                <w:sz w:val="20"/>
                <w:szCs w:val="20"/>
              </w:rPr>
            </w:pPr>
          </w:p>
          <w:p w:rsidR="00F70BD1" w:rsidRPr="00DA476D" w:rsidRDefault="00F70BD1" w:rsidP="00016A4D">
            <w:pPr>
              <w:jc w:val="center"/>
              <w:rPr>
                <w:bCs/>
                <w:color w:val="FF0000"/>
                <w:sz w:val="20"/>
                <w:szCs w:val="20"/>
              </w:rPr>
            </w:pPr>
          </w:p>
          <w:p w:rsidR="003054E2" w:rsidRPr="003054E2" w:rsidRDefault="003054E2" w:rsidP="003054E2">
            <w:pPr>
              <w:jc w:val="right"/>
              <w:rPr>
                <w:bCs/>
                <w:sz w:val="20"/>
                <w:szCs w:val="20"/>
              </w:rPr>
            </w:pPr>
            <w:r w:rsidRPr="003054E2">
              <w:rPr>
                <w:bCs/>
                <w:sz w:val="20"/>
                <w:szCs w:val="20"/>
              </w:rPr>
              <w:t>7.765,41</w:t>
            </w:r>
          </w:p>
          <w:p w:rsidR="003054E2" w:rsidRPr="003054E2" w:rsidRDefault="003054E2" w:rsidP="003054E2">
            <w:pPr>
              <w:jc w:val="right"/>
              <w:rPr>
                <w:bCs/>
                <w:sz w:val="20"/>
                <w:szCs w:val="20"/>
              </w:rPr>
            </w:pPr>
            <w:r w:rsidRPr="003054E2">
              <w:rPr>
                <w:bCs/>
                <w:sz w:val="20"/>
                <w:szCs w:val="20"/>
              </w:rPr>
              <w:t>3.952,70</w:t>
            </w:r>
          </w:p>
          <w:p w:rsidR="003054E2" w:rsidRPr="003054E2" w:rsidRDefault="003054E2" w:rsidP="003054E2">
            <w:pPr>
              <w:jc w:val="right"/>
              <w:rPr>
                <w:bCs/>
                <w:sz w:val="20"/>
                <w:szCs w:val="20"/>
              </w:rPr>
            </w:pPr>
            <w:r w:rsidRPr="003054E2">
              <w:rPr>
                <w:bCs/>
                <w:sz w:val="20"/>
                <w:szCs w:val="20"/>
              </w:rPr>
              <w:t>4.003,04</w:t>
            </w:r>
          </w:p>
          <w:p w:rsidR="003054E2" w:rsidRPr="003054E2" w:rsidRDefault="003054E2" w:rsidP="003054E2">
            <w:pPr>
              <w:jc w:val="right"/>
              <w:rPr>
                <w:bCs/>
                <w:sz w:val="20"/>
                <w:szCs w:val="20"/>
              </w:rPr>
            </w:pPr>
            <w:r w:rsidRPr="003054E2">
              <w:rPr>
                <w:bCs/>
                <w:sz w:val="20"/>
                <w:szCs w:val="20"/>
              </w:rPr>
              <w:t>12.404,75</w:t>
            </w:r>
          </w:p>
          <w:p w:rsidR="003054E2" w:rsidRPr="003054E2" w:rsidRDefault="003054E2" w:rsidP="003054E2">
            <w:pPr>
              <w:jc w:val="right"/>
              <w:rPr>
                <w:bCs/>
                <w:sz w:val="20"/>
                <w:szCs w:val="20"/>
              </w:rPr>
            </w:pPr>
            <w:r w:rsidRPr="003054E2">
              <w:rPr>
                <w:bCs/>
                <w:sz w:val="20"/>
                <w:szCs w:val="20"/>
              </w:rPr>
              <w:t>35.784,05</w:t>
            </w:r>
          </w:p>
          <w:p w:rsidR="003054E2" w:rsidRPr="003054E2" w:rsidRDefault="003054E2" w:rsidP="003054E2">
            <w:pPr>
              <w:jc w:val="right"/>
              <w:rPr>
                <w:bCs/>
                <w:sz w:val="20"/>
                <w:szCs w:val="20"/>
              </w:rPr>
            </w:pPr>
            <w:r w:rsidRPr="003054E2">
              <w:rPr>
                <w:bCs/>
                <w:sz w:val="20"/>
                <w:szCs w:val="20"/>
              </w:rPr>
              <w:t>13.131,47</w:t>
            </w:r>
          </w:p>
          <w:p w:rsidR="003054E2" w:rsidRPr="003054E2" w:rsidRDefault="003054E2" w:rsidP="003054E2">
            <w:pPr>
              <w:jc w:val="right"/>
              <w:rPr>
                <w:bCs/>
                <w:sz w:val="20"/>
                <w:szCs w:val="20"/>
              </w:rPr>
            </w:pPr>
            <w:r w:rsidRPr="003054E2">
              <w:rPr>
                <w:bCs/>
                <w:sz w:val="20"/>
                <w:szCs w:val="20"/>
              </w:rPr>
              <w:t>10.340,93</w:t>
            </w:r>
          </w:p>
          <w:p w:rsidR="003054E2" w:rsidRPr="003054E2" w:rsidRDefault="003054E2" w:rsidP="003054E2">
            <w:pPr>
              <w:jc w:val="right"/>
              <w:rPr>
                <w:bCs/>
                <w:sz w:val="20"/>
                <w:szCs w:val="20"/>
              </w:rPr>
            </w:pPr>
            <w:r w:rsidRPr="003054E2">
              <w:rPr>
                <w:bCs/>
                <w:sz w:val="20"/>
                <w:szCs w:val="20"/>
              </w:rPr>
              <w:t>11.018,16</w:t>
            </w:r>
          </w:p>
          <w:p w:rsidR="003054E2" w:rsidRPr="003054E2" w:rsidRDefault="003054E2" w:rsidP="003054E2">
            <w:pPr>
              <w:jc w:val="right"/>
              <w:rPr>
                <w:bCs/>
                <w:sz w:val="20"/>
                <w:szCs w:val="20"/>
              </w:rPr>
            </w:pPr>
            <w:r w:rsidRPr="003054E2">
              <w:rPr>
                <w:bCs/>
                <w:sz w:val="20"/>
                <w:szCs w:val="20"/>
              </w:rPr>
              <w:t>8.764,35</w:t>
            </w:r>
          </w:p>
          <w:p w:rsidR="003054E2" w:rsidRPr="003054E2" w:rsidRDefault="003054E2" w:rsidP="003054E2">
            <w:pPr>
              <w:jc w:val="right"/>
              <w:rPr>
                <w:bCs/>
                <w:sz w:val="20"/>
                <w:szCs w:val="20"/>
              </w:rPr>
            </w:pPr>
            <w:r w:rsidRPr="003054E2">
              <w:rPr>
                <w:bCs/>
                <w:sz w:val="20"/>
                <w:szCs w:val="20"/>
              </w:rPr>
              <w:t>869,61</w:t>
            </w:r>
          </w:p>
          <w:p w:rsidR="003054E2" w:rsidRPr="003054E2" w:rsidRDefault="003054E2" w:rsidP="003054E2">
            <w:pPr>
              <w:jc w:val="right"/>
              <w:rPr>
                <w:bCs/>
                <w:sz w:val="20"/>
                <w:szCs w:val="20"/>
              </w:rPr>
            </w:pPr>
            <w:r w:rsidRPr="003054E2">
              <w:rPr>
                <w:bCs/>
                <w:sz w:val="20"/>
                <w:szCs w:val="20"/>
              </w:rPr>
              <w:t>41.889,45</w:t>
            </w:r>
          </w:p>
          <w:p w:rsidR="003054E2" w:rsidRPr="003054E2" w:rsidRDefault="003054E2" w:rsidP="003054E2">
            <w:pPr>
              <w:jc w:val="right"/>
              <w:rPr>
                <w:bCs/>
                <w:sz w:val="20"/>
                <w:szCs w:val="20"/>
              </w:rPr>
            </w:pPr>
            <w:r w:rsidRPr="003054E2">
              <w:rPr>
                <w:bCs/>
                <w:sz w:val="20"/>
                <w:szCs w:val="20"/>
              </w:rPr>
              <w:t>7.351,18</w:t>
            </w:r>
          </w:p>
          <w:p w:rsidR="003054E2" w:rsidRPr="003054E2" w:rsidRDefault="003054E2" w:rsidP="003054E2">
            <w:pPr>
              <w:jc w:val="right"/>
              <w:rPr>
                <w:bCs/>
                <w:sz w:val="20"/>
                <w:szCs w:val="20"/>
              </w:rPr>
            </w:pPr>
            <w:r w:rsidRPr="003054E2">
              <w:rPr>
                <w:bCs/>
                <w:sz w:val="20"/>
                <w:szCs w:val="20"/>
              </w:rPr>
              <w:t>3.945,79</w:t>
            </w:r>
          </w:p>
          <w:p w:rsidR="003054E2" w:rsidRPr="003054E2" w:rsidRDefault="003054E2" w:rsidP="003054E2">
            <w:pPr>
              <w:jc w:val="right"/>
              <w:rPr>
                <w:bCs/>
                <w:sz w:val="20"/>
                <w:szCs w:val="20"/>
              </w:rPr>
            </w:pPr>
            <w:r w:rsidRPr="003054E2">
              <w:rPr>
                <w:bCs/>
                <w:sz w:val="20"/>
                <w:szCs w:val="20"/>
              </w:rPr>
              <w:t>352,71</w:t>
            </w:r>
          </w:p>
          <w:p w:rsidR="003054E2" w:rsidRPr="003054E2" w:rsidRDefault="003054E2" w:rsidP="003054E2">
            <w:pPr>
              <w:jc w:val="right"/>
              <w:rPr>
                <w:bCs/>
                <w:sz w:val="20"/>
                <w:szCs w:val="20"/>
              </w:rPr>
            </w:pPr>
            <w:r w:rsidRPr="003054E2">
              <w:rPr>
                <w:bCs/>
                <w:sz w:val="20"/>
                <w:szCs w:val="20"/>
              </w:rPr>
              <w:t>15.312,67</w:t>
            </w:r>
          </w:p>
          <w:p w:rsidR="003054E2" w:rsidRPr="003054E2" w:rsidRDefault="003054E2" w:rsidP="003054E2">
            <w:pPr>
              <w:jc w:val="right"/>
              <w:rPr>
                <w:bCs/>
                <w:sz w:val="20"/>
                <w:szCs w:val="20"/>
              </w:rPr>
            </w:pPr>
            <w:r w:rsidRPr="003054E2">
              <w:rPr>
                <w:bCs/>
                <w:sz w:val="20"/>
                <w:szCs w:val="20"/>
              </w:rPr>
              <w:t>1.582,27</w:t>
            </w:r>
          </w:p>
          <w:p w:rsidR="003054E2" w:rsidRPr="003054E2" w:rsidRDefault="003054E2" w:rsidP="003054E2">
            <w:pPr>
              <w:jc w:val="right"/>
              <w:rPr>
                <w:bCs/>
                <w:sz w:val="20"/>
                <w:szCs w:val="20"/>
              </w:rPr>
            </w:pPr>
            <w:r w:rsidRPr="003054E2">
              <w:rPr>
                <w:bCs/>
                <w:sz w:val="20"/>
                <w:szCs w:val="20"/>
              </w:rPr>
              <w:t>35.241,27</w:t>
            </w:r>
          </w:p>
          <w:p w:rsidR="003054E2" w:rsidRPr="003054E2" w:rsidRDefault="003054E2" w:rsidP="003054E2">
            <w:pPr>
              <w:jc w:val="right"/>
              <w:rPr>
                <w:bCs/>
                <w:sz w:val="20"/>
                <w:szCs w:val="20"/>
              </w:rPr>
            </w:pPr>
            <w:r w:rsidRPr="003054E2">
              <w:rPr>
                <w:bCs/>
                <w:sz w:val="20"/>
                <w:szCs w:val="20"/>
              </w:rPr>
              <w:t>469,82</w:t>
            </w:r>
          </w:p>
          <w:p w:rsidR="003054E2" w:rsidRPr="003054E2" w:rsidRDefault="003054E2" w:rsidP="003054E2">
            <w:pPr>
              <w:jc w:val="right"/>
              <w:rPr>
                <w:bCs/>
                <w:sz w:val="20"/>
                <w:szCs w:val="20"/>
              </w:rPr>
            </w:pPr>
            <w:r w:rsidRPr="003054E2">
              <w:rPr>
                <w:bCs/>
                <w:sz w:val="20"/>
                <w:szCs w:val="20"/>
              </w:rPr>
              <w:t>17.478,28</w:t>
            </w:r>
          </w:p>
          <w:p w:rsidR="003054E2" w:rsidRPr="003054E2" w:rsidRDefault="003054E2" w:rsidP="003054E2">
            <w:pPr>
              <w:jc w:val="right"/>
              <w:rPr>
                <w:bCs/>
                <w:sz w:val="20"/>
                <w:szCs w:val="20"/>
              </w:rPr>
            </w:pPr>
            <w:r w:rsidRPr="003054E2">
              <w:rPr>
                <w:bCs/>
                <w:sz w:val="20"/>
                <w:szCs w:val="20"/>
              </w:rPr>
              <w:t>37.671,18</w:t>
            </w:r>
          </w:p>
          <w:p w:rsidR="00B96F8C" w:rsidRPr="00DA476D" w:rsidRDefault="003054E2" w:rsidP="003054E2">
            <w:pPr>
              <w:jc w:val="right"/>
              <w:rPr>
                <w:bCs/>
                <w:sz w:val="20"/>
                <w:szCs w:val="20"/>
              </w:rPr>
            </w:pPr>
            <w:r w:rsidRPr="003054E2">
              <w:rPr>
                <w:bCs/>
                <w:sz w:val="20"/>
                <w:szCs w:val="20"/>
              </w:rPr>
              <w:t>7.987,91</w:t>
            </w: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3054E2" w:rsidP="00016A4D">
            <w:pPr>
              <w:jc w:val="center"/>
              <w:rPr>
                <w:b/>
                <w:bCs/>
                <w:color w:val="FF0000"/>
                <w:sz w:val="20"/>
                <w:szCs w:val="20"/>
              </w:rPr>
            </w:pPr>
            <w:r w:rsidRPr="003054E2">
              <w:rPr>
                <w:b/>
                <w:bCs/>
                <w:sz w:val="20"/>
                <w:szCs w:val="20"/>
              </w:rPr>
              <w:t>277.317,00</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8D5D39">
        <w:trPr>
          <w:trHeight w:val="68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93C89" w:rsidRDefault="00B945D8" w:rsidP="008B6713">
            <w:pPr>
              <w:rPr>
                <w:bCs/>
                <w:color w:val="FF0000"/>
                <w:sz w:val="20"/>
                <w:szCs w:val="20"/>
              </w:rPr>
            </w:pPr>
          </w:p>
          <w:p w:rsidR="00DA476D" w:rsidRDefault="000D32FB" w:rsidP="008D5D39">
            <w:pPr>
              <w:rPr>
                <w:bCs/>
                <w:sz w:val="20"/>
                <w:szCs w:val="20"/>
              </w:rPr>
            </w:pPr>
            <w:r>
              <w:rPr>
                <w:bCs/>
                <w:sz w:val="20"/>
                <w:szCs w:val="20"/>
              </w:rPr>
              <w:t xml:space="preserve">- </w:t>
            </w:r>
            <w:r w:rsidR="00DA476D">
              <w:rPr>
                <w:bCs/>
                <w:sz w:val="20"/>
                <w:szCs w:val="20"/>
              </w:rPr>
              <w:t>Cobertura com Telha Cerâmica</w:t>
            </w:r>
          </w:p>
          <w:p w:rsidR="00331675" w:rsidRDefault="00DA476D" w:rsidP="008D5D39">
            <w:pPr>
              <w:rPr>
                <w:bCs/>
                <w:sz w:val="20"/>
                <w:szCs w:val="20"/>
              </w:rPr>
            </w:pPr>
            <w:r>
              <w:rPr>
                <w:bCs/>
                <w:sz w:val="20"/>
                <w:szCs w:val="20"/>
              </w:rPr>
              <w:t xml:space="preserve">- Piso de </w:t>
            </w:r>
            <w:proofErr w:type="spellStart"/>
            <w:r>
              <w:rPr>
                <w:bCs/>
                <w:sz w:val="20"/>
                <w:szCs w:val="20"/>
              </w:rPr>
              <w:t>Granitina</w:t>
            </w:r>
            <w:proofErr w:type="spellEnd"/>
            <w:r w:rsidR="00A71EA3" w:rsidRPr="00A71EA3">
              <w:rPr>
                <w:bCs/>
                <w:sz w:val="20"/>
                <w:szCs w:val="20"/>
              </w:rPr>
              <w:tab/>
            </w:r>
          </w:p>
          <w:p w:rsidR="000D32FB" w:rsidRPr="00A93C89" w:rsidRDefault="000D32FB" w:rsidP="008D5D39">
            <w:pPr>
              <w:rPr>
                <w:bCs/>
                <w:color w:val="FF0000"/>
                <w:sz w:val="20"/>
                <w:szCs w:val="20"/>
              </w:rPr>
            </w:pPr>
          </w:p>
        </w:tc>
        <w:tc>
          <w:tcPr>
            <w:tcW w:w="1068" w:type="dxa"/>
            <w:tcBorders>
              <w:top w:val="single" w:sz="4" w:space="0" w:color="auto"/>
              <w:left w:val="nil"/>
              <w:bottom w:val="single" w:sz="4" w:space="0" w:color="auto"/>
              <w:right w:val="single" w:sz="4" w:space="0" w:color="auto"/>
            </w:tcBorders>
          </w:tcPr>
          <w:p w:rsidR="00B945D8" w:rsidRPr="008D5D39" w:rsidRDefault="00B945D8" w:rsidP="008B6713">
            <w:pPr>
              <w:jc w:val="center"/>
              <w:rPr>
                <w:bCs/>
                <w:sz w:val="20"/>
                <w:szCs w:val="20"/>
              </w:rPr>
            </w:pPr>
          </w:p>
          <w:p w:rsidR="00137CC0" w:rsidRPr="008D5D39" w:rsidRDefault="00DA476D" w:rsidP="008B6713">
            <w:pPr>
              <w:jc w:val="center"/>
              <w:rPr>
                <w:bCs/>
                <w:sz w:val="20"/>
                <w:szCs w:val="20"/>
              </w:rPr>
            </w:pPr>
            <w:r>
              <w:rPr>
                <w:bCs/>
                <w:sz w:val="20"/>
                <w:szCs w:val="20"/>
              </w:rPr>
              <w:t>M2</w:t>
            </w:r>
          </w:p>
          <w:p w:rsidR="00DA476D" w:rsidRPr="008D5D39" w:rsidRDefault="00DA476D" w:rsidP="00DA476D">
            <w:pPr>
              <w:jc w:val="center"/>
              <w:rPr>
                <w:bCs/>
                <w:sz w:val="20"/>
                <w:szCs w:val="20"/>
              </w:rPr>
            </w:pPr>
            <w:r>
              <w:rPr>
                <w:bCs/>
                <w:sz w:val="20"/>
                <w:szCs w:val="20"/>
              </w:rPr>
              <w:t>M2</w:t>
            </w:r>
          </w:p>
          <w:p w:rsidR="00137CC0" w:rsidRPr="008D5D39" w:rsidRDefault="00137CC0" w:rsidP="008B6713">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8D5D39" w:rsidRDefault="00B945D8" w:rsidP="008B6713">
            <w:pPr>
              <w:jc w:val="right"/>
              <w:rPr>
                <w:bCs/>
                <w:sz w:val="20"/>
                <w:szCs w:val="20"/>
              </w:rPr>
            </w:pPr>
          </w:p>
          <w:p w:rsidR="00DA476D" w:rsidRDefault="00DA476D" w:rsidP="00A71EA3">
            <w:pPr>
              <w:jc w:val="right"/>
              <w:rPr>
                <w:bCs/>
                <w:sz w:val="20"/>
                <w:szCs w:val="20"/>
              </w:rPr>
            </w:pPr>
            <w:r w:rsidRPr="00DA476D">
              <w:rPr>
                <w:bCs/>
                <w:sz w:val="20"/>
                <w:szCs w:val="20"/>
              </w:rPr>
              <w:t>1</w:t>
            </w:r>
            <w:r w:rsidR="008912D0">
              <w:rPr>
                <w:bCs/>
                <w:sz w:val="20"/>
                <w:szCs w:val="20"/>
              </w:rPr>
              <w:t>48,10</w:t>
            </w:r>
          </w:p>
          <w:p w:rsidR="00A71EA3" w:rsidRPr="00A71EA3" w:rsidRDefault="008912D0" w:rsidP="00A71EA3">
            <w:pPr>
              <w:jc w:val="right"/>
              <w:rPr>
                <w:bCs/>
                <w:sz w:val="20"/>
                <w:szCs w:val="20"/>
              </w:rPr>
            </w:pPr>
            <w:r>
              <w:rPr>
                <w:bCs/>
                <w:sz w:val="20"/>
                <w:szCs w:val="20"/>
              </w:rPr>
              <w:t>148,10</w:t>
            </w:r>
            <w:r w:rsidR="00A71EA3" w:rsidRPr="00A71EA3">
              <w:rPr>
                <w:bCs/>
                <w:sz w:val="20"/>
                <w:szCs w:val="20"/>
              </w:rPr>
              <w:t xml:space="preserve"> </w:t>
            </w:r>
          </w:p>
          <w:p w:rsidR="000D32FB" w:rsidRPr="008D5D39" w:rsidRDefault="00A71EA3" w:rsidP="00A71EA3">
            <w:pPr>
              <w:jc w:val="right"/>
              <w:rPr>
                <w:bCs/>
                <w:sz w:val="20"/>
                <w:szCs w:val="20"/>
              </w:rPr>
            </w:pPr>
            <w:r w:rsidRPr="00A71EA3">
              <w:rPr>
                <w:bCs/>
                <w:sz w:val="20"/>
                <w:szCs w:val="20"/>
              </w:rPr>
              <w:t xml:space="preserve"> </w:t>
            </w:r>
          </w:p>
        </w:tc>
        <w:tc>
          <w:tcPr>
            <w:tcW w:w="2126" w:type="dxa"/>
            <w:tcBorders>
              <w:top w:val="single" w:sz="4" w:space="0" w:color="auto"/>
              <w:left w:val="nil"/>
              <w:bottom w:val="single" w:sz="4" w:space="0" w:color="auto"/>
              <w:right w:val="single" w:sz="4" w:space="0" w:color="auto"/>
            </w:tcBorders>
          </w:tcPr>
          <w:p w:rsidR="00B945D8" w:rsidRPr="008D5D39" w:rsidRDefault="00B945D8" w:rsidP="008B6713">
            <w:pPr>
              <w:jc w:val="right"/>
              <w:rPr>
                <w:bCs/>
                <w:sz w:val="20"/>
                <w:szCs w:val="20"/>
              </w:rPr>
            </w:pPr>
          </w:p>
          <w:p w:rsidR="000D32FB" w:rsidRDefault="008912D0" w:rsidP="00A71EA3">
            <w:pPr>
              <w:jc w:val="right"/>
              <w:rPr>
                <w:bCs/>
                <w:sz w:val="20"/>
                <w:szCs w:val="20"/>
              </w:rPr>
            </w:pPr>
            <w:r>
              <w:rPr>
                <w:bCs/>
                <w:sz w:val="20"/>
                <w:szCs w:val="20"/>
              </w:rPr>
              <w:t>74,05</w:t>
            </w:r>
          </w:p>
          <w:p w:rsidR="00DA476D" w:rsidRDefault="008912D0" w:rsidP="00A71EA3">
            <w:pPr>
              <w:jc w:val="right"/>
              <w:rPr>
                <w:bCs/>
                <w:sz w:val="20"/>
                <w:szCs w:val="20"/>
              </w:rPr>
            </w:pPr>
            <w:r>
              <w:rPr>
                <w:bCs/>
                <w:sz w:val="20"/>
                <w:szCs w:val="20"/>
              </w:rPr>
              <w:t>74,05</w:t>
            </w:r>
          </w:p>
          <w:p w:rsidR="00A71EA3" w:rsidRPr="008D5D39" w:rsidRDefault="00A71EA3" w:rsidP="00A71EA3">
            <w:pPr>
              <w:jc w:val="right"/>
              <w:rPr>
                <w:bCs/>
                <w:sz w:val="20"/>
                <w:szCs w:val="20"/>
              </w:rPr>
            </w:pPr>
          </w:p>
        </w:tc>
      </w:tr>
    </w:tbl>
    <w:p w:rsidR="00306E97" w:rsidRDefault="00306E97" w:rsidP="006D24EA">
      <w:pPr>
        <w:jc w:val="both"/>
        <w:rPr>
          <w:rFonts w:asciiTheme="minorHAnsi" w:hAnsiTheme="minorHAnsi"/>
          <w:b/>
          <w:color w:val="000000"/>
          <w:sz w:val="22"/>
          <w:szCs w:val="22"/>
        </w:rPr>
      </w:pPr>
    </w:p>
    <w:p w:rsidR="00712A39" w:rsidRDefault="00712A39" w:rsidP="006D24EA">
      <w:pPr>
        <w:jc w:val="both"/>
        <w:rPr>
          <w:rFonts w:asciiTheme="minorHAnsi" w:hAnsiTheme="minorHAnsi"/>
          <w:b/>
          <w:color w:val="000000"/>
          <w:sz w:val="22"/>
          <w:szCs w:val="22"/>
        </w:rPr>
      </w:pPr>
    </w:p>
    <w:p w:rsidR="00712A39" w:rsidRDefault="00712A39" w:rsidP="006D24EA">
      <w:pPr>
        <w:jc w:val="both"/>
        <w:rPr>
          <w:rFonts w:asciiTheme="minorHAnsi" w:hAnsiTheme="minorHAnsi"/>
          <w:b/>
          <w:color w:val="000000"/>
          <w:sz w:val="22"/>
          <w:szCs w:val="22"/>
        </w:rPr>
      </w:pPr>
    </w:p>
    <w:p w:rsidR="00DD5966" w:rsidRDefault="00DD5966" w:rsidP="006D24EA">
      <w:pPr>
        <w:jc w:val="both"/>
        <w:rPr>
          <w:rFonts w:asciiTheme="minorHAnsi" w:hAnsiTheme="minorHAnsi"/>
          <w:b/>
          <w:color w:val="000000"/>
          <w:sz w:val="22"/>
          <w:szCs w:val="22"/>
        </w:rPr>
      </w:pPr>
    </w:p>
    <w:p w:rsidR="00712A39" w:rsidRDefault="00712A39" w:rsidP="006D24EA">
      <w:pPr>
        <w:jc w:val="both"/>
        <w:rPr>
          <w:rFonts w:asciiTheme="minorHAnsi" w:hAnsiTheme="minorHAnsi"/>
          <w:b/>
          <w:color w:val="000000"/>
          <w:sz w:val="22"/>
          <w:szCs w:val="22"/>
        </w:rPr>
      </w:pPr>
    </w:p>
    <w:p w:rsidR="00D56C5C" w:rsidRDefault="00D56C5C"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lastRenderedPageBreak/>
        <w:t>DA ESCOLHA DA PLANILHA ORÇAMENTÁRIA</w:t>
      </w:r>
    </w:p>
    <w:p w:rsidR="00DD5966" w:rsidRPr="00DD5966" w:rsidRDefault="00DD5966" w:rsidP="00DD5966">
      <w:pPr>
        <w:autoSpaceDE w:val="0"/>
        <w:autoSpaceDN w:val="0"/>
        <w:adjustRightInd w:val="0"/>
        <w:spacing w:line="300" w:lineRule="atLeast"/>
        <w:ind w:left="340"/>
        <w:jc w:val="both"/>
        <w:rPr>
          <w:b/>
          <w:sz w:val="22"/>
          <w:szCs w:val="22"/>
        </w:rPr>
      </w:pPr>
      <w:r w:rsidRPr="00DD5966">
        <w:rPr>
          <w:sz w:val="22"/>
          <w:szCs w:val="22"/>
        </w:rPr>
        <w:t xml:space="preserve">Para a obra de reforma e ampliação de cozinha e refeitório da Escola Estadual José de Faria, foram elaboradas as planilhas orçamentárias estimadas com as tabelas ONERADA e DESONERADA. Foram utilizados como referência os preços publicados pela AGETOP e SINAPI ou aqueles constantes das composições de custos unitários elaboradas pela </w:t>
      </w:r>
      <w:proofErr w:type="spellStart"/>
      <w:r w:rsidRPr="00DD5966">
        <w:rPr>
          <w:sz w:val="22"/>
          <w:szCs w:val="22"/>
        </w:rPr>
        <w:t>Kaio</w:t>
      </w:r>
      <w:proofErr w:type="spellEnd"/>
      <w:r w:rsidRPr="00DD5966">
        <w:rPr>
          <w:sz w:val="22"/>
          <w:szCs w:val="22"/>
        </w:rPr>
        <w:t xml:space="preserve"> Victor Vaz Fernandes ME. Após a elaboração das planilhas, verifica-se que a </w:t>
      </w:r>
      <w:r w:rsidRPr="00DD5966">
        <w:rPr>
          <w:b/>
          <w:sz w:val="22"/>
          <w:szCs w:val="22"/>
        </w:rPr>
        <w:t>Planilha Desonerada é a mais vantajosa</w:t>
      </w:r>
      <w:r w:rsidRPr="00DD5966">
        <w:rPr>
          <w:b/>
          <w:sz w:val="22"/>
          <w:szCs w:val="22"/>
        </w:rPr>
        <w:t xml:space="preserve">, </w:t>
      </w:r>
      <w:r w:rsidRPr="00DD5966">
        <w:rPr>
          <w:b/>
          <w:sz w:val="22"/>
          <w:szCs w:val="22"/>
        </w:rPr>
        <w:t>conforme art. 3° da Lei Federal 8.666/93.</w:t>
      </w:r>
    </w:p>
    <w:p w:rsidR="00164D7A" w:rsidRPr="001456BD" w:rsidRDefault="00164D7A" w:rsidP="00164D7A">
      <w:pPr>
        <w:autoSpaceDE w:val="0"/>
        <w:autoSpaceDN w:val="0"/>
        <w:adjustRightInd w:val="0"/>
        <w:spacing w:line="300" w:lineRule="atLeast"/>
        <w:ind w:left="340"/>
        <w:jc w:val="both"/>
        <w:rPr>
          <w:sz w:val="22"/>
          <w:szCs w:val="22"/>
        </w:rPr>
      </w:pPr>
    </w:p>
    <w:p w:rsidR="00306E97" w:rsidRDefault="00306E97"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lastRenderedPageBreak/>
        <w:t>Pela inexecução total ou parcial do objeto da licitação, a depender da gravidade do ato praticado, a Administração poderá optar pela aplicação da pena de Advertência, nos termos do inciso I do art. 87 da Lei nº 8.666/93;</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Default="00AF0671" w:rsidP="006D24EA">
      <w:pPr>
        <w:jc w:val="both"/>
        <w:rPr>
          <w:b/>
          <w:color w:val="000000"/>
          <w:sz w:val="22"/>
          <w:szCs w:val="22"/>
        </w:rPr>
      </w:pPr>
    </w:p>
    <w:p w:rsidR="00482F05" w:rsidRPr="00A114B6" w:rsidRDefault="00482F05"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Pr="00A114B6" w:rsidRDefault="00211EEF" w:rsidP="006D24EA">
      <w:pPr>
        <w:jc w:val="both"/>
        <w:rPr>
          <w:b/>
          <w:color w:val="000000"/>
          <w:sz w:val="22"/>
          <w:szCs w:val="22"/>
        </w:rPr>
      </w:pPr>
    </w:p>
    <w:p w:rsidR="00D467C7" w:rsidRPr="00A114B6" w:rsidRDefault="00482F05"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1" w:name="_Hlk25588870"/>
      <w:r>
        <w:rPr>
          <w:rFonts w:ascii="Times New Roman" w:hAnsi="Times New Roman"/>
          <w:b/>
          <w:bCs/>
        </w:rPr>
        <w:lastRenderedPageBreak/>
        <w:t xml:space="preserve"> </w:t>
      </w:r>
      <w:r w:rsidR="00D467C7"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482F05"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Pr="00A114B6"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Pr="00A114B6"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w:t>
      </w:r>
      <w:r w:rsidRPr="00A114B6">
        <w:rPr>
          <w:rFonts w:ascii="Times New Roman" w:hAnsi="Times New Roman"/>
        </w:rPr>
        <w:lastRenderedPageBreak/>
        <w:t>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1"/>
    <w:p w:rsidR="00D467C7" w:rsidRPr="00A114B6" w:rsidRDefault="00D467C7"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482F05" w:rsidRPr="00482F05"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lastRenderedPageBreak/>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 xml:space="preserve">O licitante deverá anexar aos autos o(s) contrato(s) com o(s) </w:t>
      </w:r>
    </w:p>
    <w:p w:rsidR="00D40DE3" w:rsidRPr="00A114B6" w:rsidRDefault="00C66390" w:rsidP="00482F05">
      <w:pPr>
        <w:pStyle w:val="PargrafodaLista"/>
        <w:autoSpaceDE w:val="0"/>
        <w:autoSpaceDN w:val="0"/>
        <w:adjustRightInd w:val="0"/>
        <w:spacing w:after="0" w:line="300" w:lineRule="atLeast"/>
        <w:ind w:left="1474"/>
        <w:jc w:val="both"/>
        <w:rPr>
          <w:rFonts w:ascii="Times New Roman" w:hAnsi="Times New Roman"/>
          <w:b/>
          <w:bCs/>
        </w:rPr>
      </w:pPr>
      <w:r w:rsidRPr="00A114B6">
        <w:rPr>
          <w:rFonts w:ascii="Times New Roman" w:hAnsi="Times New Roman"/>
        </w:rPr>
        <w:t>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lastRenderedPageBreak/>
        <w:t>A CONTRATANTE deverá efetuar o pagamento mediante emissão da nota fiscal, por parte da CONTRATADA, conforme contrato e a entrega dos serviços.</w:t>
      </w:r>
    </w:p>
    <w:p w:rsidR="003A38F0"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482F05" w:rsidRPr="00482F05"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w:t>
      </w:r>
    </w:p>
    <w:p w:rsidR="00CC7D0A" w:rsidRPr="00A114B6" w:rsidRDefault="00CC7D0A" w:rsidP="00482F05">
      <w:pPr>
        <w:pStyle w:val="PargrafodaLista"/>
        <w:autoSpaceDE w:val="0"/>
        <w:autoSpaceDN w:val="0"/>
        <w:adjustRightInd w:val="0"/>
        <w:spacing w:after="0" w:line="300" w:lineRule="atLeast"/>
        <w:ind w:left="1474"/>
        <w:jc w:val="both"/>
        <w:rPr>
          <w:rFonts w:ascii="Times New Roman" w:hAnsi="Times New Roman"/>
          <w:b/>
          <w:bCs/>
        </w:rPr>
      </w:pPr>
      <w:proofErr w:type="spellStart"/>
      <w:r w:rsidRPr="00A114B6">
        <w:rPr>
          <w:rFonts w:ascii="Times New Roman" w:hAnsi="Times New Roman"/>
          <w:color w:val="000000"/>
        </w:rPr>
        <w:t>à</w:t>
      </w:r>
      <w:proofErr w:type="spellEnd"/>
      <w:r w:rsidRPr="00A114B6">
        <w:rPr>
          <w:rFonts w:ascii="Times New Roman" w:hAnsi="Times New Roman"/>
          <w:color w:val="000000"/>
        </w:rPr>
        <w:t xml:space="preserve"> CEI, exceto quando houver dispensa pela Previdência Social, neste caso será vinculada ao CNPJ da CONTRATADA;</w:t>
      </w:r>
    </w:p>
    <w:p w:rsidR="00956F9C"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lastRenderedPageBreak/>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Pr="00225F83"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r w:rsidR="000E740D">
        <w:rPr>
          <w:spacing w:val="2"/>
          <w:sz w:val="21"/>
          <w:szCs w:val="21"/>
        </w:rPr>
        <w:t xml:space="preserve"> </w:t>
      </w:r>
      <w:r w:rsidRPr="00225F83">
        <w:rPr>
          <w:spacing w:val="2"/>
          <w:sz w:val="21"/>
          <w:szCs w:val="21"/>
        </w:rPr>
        <w:t>Servidor(a)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482F05"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w:t>
      </w:r>
    </w:p>
    <w:p w:rsidR="003B44F3" w:rsidRPr="003C6360" w:rsidRDefault="003B44F3" w:rsidP="00482F05">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contratual, em caso de reincidência ou resistência, respondendo por omissão quanto à falta por não cumprir com as exigências de Segurança e Saúde do Trabalho de acordo com a Normas 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712A39">
        <w:rPr>
          <w:sz w:val="22"/>
          <w:szCs w:val="22"/>
        </w:rPr>
        <w:t>1</w:t>
      </w:r>
      <w:r w:rsidR="00C02DFF">
        <w:rPr>
          <w:sz w:val="22"/>
          <w:szCs w:val="22"/>
        </w:rPr>
        <w:t>8</w:t>
      </w:r>
      <w:r w:rsidR="00EC2B61" w:rsidRPr="001C4289">
        <w:rPr>
          <w:sz w:val="22"/>
          <w:szCs w:val="22"/>
        </w:rPr>
        <w:t xml:space="preserve"> </w:t>
      </w:r>
      <w:r w:rsidR="001D28BA" w:rsidRPr="001C4289">
        <w:rPr>
          <w:sz w:val="22"/>
          <w:szCs w:val="22"/>
        </w:rPr>
        <w:t xml:space="preserve">dias do mês de </w:t>
      </w:r>
      <w:r w:rsidR="006531C2">
        <w:rPr>
          <w:sz w:val="22"/>
          <w:szCs w:val="22"/>
        </w:rPr>
        <w:t>março</w:t>
      </w:r>
      <w:r w:rsidR="00EE0983" w:rsidRPr="001C4289">
        <w:rPr>
          <w:sz w:val="22"/>
          <w:szCs w:val="22"/>
        </w:rPr>
        <w:t xml:space="preserve"> de 20</w:t>
      </w:r>
      <w:r w:rsidR="00297796" w:rsidRPr="001C4289">
        <w:rPr>
          <w:sz w:val="22"/>
          <w:szCs w:val="22"/>
        </w:rPr>
        <w:t>2</w:t>
      </w:r>
      <w:r w:rsidR="001C4289" w:rsidRPr="001C4289">
        <w:rPr>
          <w:sz w:val="22"/>
          <w:szCs w:val="22"/>
        </w:rPr>
        <w:t>1</w:t>
      </w:r>
      <w:r w:rsidR="00A37F11" w:rsidRPr="001C4289">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D06811" w:rsidRPr="00CB3D51" w:rsidRDefault="00D06811" w:rsidP="00E6380F">
            <w:pPr>
              <w:jc w:val="center"/>
              <w:rPr>
                <w:rFonts w:ascii="Times New Roman" w:hAnsi="Times New Roman"/>
                <w:sz w:val="22"/>
                <w:szCs w:val="22"/>
              </w:rPr>
            </w:pPr>
            <w:r w:rsidRPr="00CB3D51">
              <w:rPr>
                <w:rFonts w:ascii="Times New Roman" w:hAnsi="Times New Roman"/>
                <w:sz w:val="22"/>
                <w:szCs w:val="22"/>
              </w:rPr>
              <w:t>___</w:t>
            </w:r>
            <w:r w:rsidR="00CB3D51">
              <w:rPr>
                <w:rFonts w:ascii="Times New Roman" w:hAnsi="Times New Roman"/>
                <w:sz w:val="22"/>
                <w:szCs w:val="22"/>
              </w:rPr>
              <w:t>________________</w:t>
            </w:r>
            <w:r w:rsidRPr="00CB3D51">
              <w:rPr>
                <w:rFonts w:ascii="Times New Roman" w:hAnsi="Times New Roman"/>
                <w:sz w:val="22"/>
                <w:szCs w:val="22"/>
              </w:rPr>
              <w:t>___________________________</w:t>
            </w:r>
          </w:p>
        </w:tc>
      </w:tr>
      <w:tr w:rsidR="00CB3D51" w:rsidRPr="00016A4D" w:rsidTr="00CB3D51">
        <w:trPr>
          <w:trHeight w:val="70"/>
        </w:trPr>
        <w:tc>
          <w:tcPr>
            <w:tcW w:w="9494" w:type="dxa"/>
          </w:tcPr>
          <w:p w:rsidR="00712A39" w:rsidRPr="00712A39" w:rsidRDefault="00712A39" w:rsidP="00712A39">
            <w:pPr>
              <w:jc w:val="center"/>
              <w:rPr>
                <w:rFonts w:ascii="Times New Roman" w:hAnsi="Times New Roman"/>
                <w:b/>
                <w:sz w:val="22"/>
                <w:szCs w:val="22"/>
              </w:rPr>
            </w:pPr>
            <w:r w:rsidRPr="00712A39">
              <w:rPr>
                <w:rFonts w:ascii="Times New Roman" w:hAnsi="Times New Roman"/>
                <w:b/>
                <w:sz w:val="22"/>
                <w:szCs w:val="22"/>
              </w:rPr>
              <w:t>Israel Moreira da Silva</w:t>
            </w:r>
          </w:p>
          <w:p w:rsidR="00712A39" w:rsidRPr="00712A39" w:rsidRDefault="00712A39" w:rsidP="00712A39">
            <w:pPr>
              <w:jc w:val="center"/>
              <w:rPr>
                <w:rFonts w:ascii="Times New Roman" w:hAnsi="Times New Roman"/>
                <w:sz w:val="20"/>
                <w:szCs w:val="20"/>
              </w:rPr>
            </w:pPr>
            <w:r w:rsidRPr="00712A39">
              <w:rPr>
                <w:rFonts w:ascii="Times New Roman" w:hAnsi="Times New Roman"/>
                <w:sz w:val="20"/>
                <w:szCs w:val="20"/>
              </w:rPr>
              <w:t>Eng. Civil - CREA Nº 1016745397D-GO</w:t>
            </w:r>
          </w:p>
          <w:p w:rsidR="00CB3D51" w:rsidRPr="00CB3D51" w:rsidRDefault="00CB3D51" w:rsidP="00712A39">
            <w:pPr>
              <w:jc w:val="center"/>
              <w:rPr>
                <w:rFonts w:ascii="Times New Roman" w:hAnsi="Times New Roman"/>
                <w:b/>
                <w:sz w:val="22"/>
                <w:szCs w:val="22"/>
              </w:rPr>
            </w:pPr>
          </w:p>
        </w:tc>
      </w:tr>
      <w:tr w:rsidR="00CB3D51" w:rsidRPr="00016A4D" w:rsidTr="00D06811">
        <w:tc>
          <w:tcPr>
            <w:tcW w:w="9494" w:type="dxa"/>
          </w:tcPr>
          <w:p w:rsidR="006531C2" w:rsidRPr="00CB3D51" w:rsidRDefault="006531C2" w:rsidP="006531C2">
            <w:pPr>
              <w:jc w:val="center"/>
              <w:rPr>
                <w:rFonts w:ascii="Times New Roman" w:hAnsi="Times New Roman"/>
                <w:iCs/>
                <w:sz w:val="22"/>
                <w:szCs w:val="22"/>
              </w:rPr>
            </w:pPr>
          </w:p>
        </w:tc>
      </w:tr>
    </w:tbl>
    <w:p w:rsidR="000E740D" w:rsidRDefault="000E740D" w:rsidP="00711A5A">
      <w:pPr>
        <w:rPr>
          <w:color w:val="000000"/>
        </w:rPr>
      </w:pPr>
    </w:p>
    <w:p w:rsidR="000E740D" w:rsidRDefault="000E740D" w:rsidP="00711A5A">
      <w:pPr>
        <w:rPr>
          <w:color w:val="000000"/>
        </w:rPr>
      </w:pPr>
    </w:p>
    <w:sectPr w:rsidR="000E740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5D8" w:rsidRDefault="00E125D8">
      <w:r>
        <w:separator/>
      </w:r>
    </w:p>
  </w:endnote>
  <w:endnote w:type="continuationSeparator" w:id="0">
    <w:p w:rsidR="00E125D8" w:rsidRDefault="00E1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2A4" w:rsidRDefault="00C412A4" w:rsidP="00C412A4">
    <w:pPr>
      <w:pStyle w:val="Default"/>
    </w:pPr>
  </w:p>
  <w:p w:rsidR="004E425A" w:rsidRPr="004E425A" w:rsidRDefault="004E425A" w:rsidP="004E425A">
    <w:pPr>
      <w:spacing w:line="259" w:lineRule="auto"/>
      <w:ind w:left="-5" w:right="54"/>
      <w:jc w:val="center"/>
      <w:rPr>
        <w:sz w:val="20"/>
        <w:szCs w:val="20"/>
      </w:rPr>
    </w:pPr>
    <w:proofErr w:type="spellStart"/>
    <w:r w:rsidRPr="004E425A">
      <w:rPr>
        <w:sz w:val="20"/>
        <w:szCs w:val="20"/>
      </w:rPr>
      <w:t>Kaio</w:t>
    </w:r>
    <w:proofErr w:type="spellEnd"/>
    <w:r w:rsidRPr="004E425A">
      <w:rPr>
        <w:sz w:val="20"/>
        <w:szCs w:val="20"/>
      </w:rPr>
      <w:t xml:space="preserve"> Victor Vaz Fernandes ME – CNPJ: 19.822.268/0001-37 - Rua Floriano Peixoto, Qd.75, Lt.20A – Setor Centro, Palmeiras de Goiás-GO - Telefone: (64) 3571-2564</w:t>
    </w:r>
  </w:p>
  <w:p w:rsidR="004E425A" w:rsidRPr="004E425A" w:rsidRDefault="004E425A" w:rsidP="004E425A">
    <w:pPr>
      <w:spacing w:after="79" w:line="259" w:lineRule="auto"/>
      <w:ind w:left="-5" w:right="54"/>
      <w:jc w:val="center"/>
      <w:rPr>
        <w:sz w:val="20"/>
        <w:szCs w:val="20"/>
      </w:rPr>
    </w:pPr>
    <w:r w:rsidRPr="004E425A">
      <w:rPr>
        <w:sz w:val="20"/>
        <w:szCs w:val="20"/>
      </w:rPr>
      <w:t xml:space="preserve">E-mail: </w:t>
    </w:r>
    <w:hyperlink r:id="rId1" w:history="1">
      <w:r w:rsidRPr="004E425A">
        <w:rPr>
          <w:rStyle w:val="Hyperlink"/>
          <w:b/>
          <w:sz w:val="20"/>
          <w:szCs w:val="20"/>
        </w:rPr>
        <w:t>kaiovaz@qtme.com.br</w:t>
      </w:r>
    </w:hyperlink>
  </w:p>
  <w:p w:rsidR="00225F83" w:rsidRDefault="00E125D8"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5D8" w:rsidRDefault="00E125D8">
      <w:r>
        <w:separator/>
      </w:r>
    </w:p>
  </w:footnote>
  <w:footnote w:type="continuationSeparator" w:id="0">
    <w:p w:rsidR="00E125D8" w:rsidRDefault="00E1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4E425A" w:rsidP="00C412A4">
    <w:pPr>
      <w:pStyle w:val="Cabealho"/>
      <w:jc w:val="right"/>
    </w:pPr>
    <w:r w:rsidRPr="00817AD4">
      <w:rPr>
        <w:noProof/>
      </w:rPr>
      <w:drawing>
        <wp:inline distT="0" distB="0" distL="0" distR="0" wp14:anchorId="13E42EF6" wp14:editId="33EA451F">
          <wp:extent cx="1257300" cy="552450"/>
          <wp:effectExtent l="0" t="0" r="0" b="0"/>
          <wp:docPr id="3" name="Imagem 1" descr="logo_high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high_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52450"/>
                  </a:xfrm>
                  <a:prstGeom prst="rect">
                    <a:avLst/>
                  </a:prstGeom>
                  <a:noFill/>
                  <a:ln>
                    <a:noFill/>
                  </a:ln>
                </pic:spPr>
              </pic:pic>
            </a:graphicData>
          </a:graphic>
        </wp:inline>
      </w:drawing>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C820224"/>
    <w:multiLevelType w:val="hybridMultilevel"/>
    <w:tmpl w:val="9F7836EA"/>
    <w:lvl w:ilvl="0" w:tplc="F676906A">
      <w:start w:val="1"/>
      <w:numFmt w:val="bullet"/>
      <w:lvlText w:val=""/>
      <w:lvlJc w:val="left"/>
      <w:pPr>
        <w:tabs>
          <w:tab w:val="num" w:pos="227"/>
        </w:tabs>
        <w:ind w:left="227" w:hanging="227"/>
      </w:pPr>
      <w:rPr>
        <w:rFonts w:ascii="Wingdings" w:hAnsi="Wingdings" w:hint="default"/>
        <w:color w:val="auto"/>
        <w:sz w:val="18"/>
      </w:rPr>
    </w:lvl>
    <w:lvl w:ilvl="1" w:tplc="9C2850D0">
      <w:start w:val="1"/>
      <w:numFmt w:val="bullet"/>
      <w:lvlText w:val=""/>
      <w:lvlJc w:val="left"/>
      <w:pPr>
        <w:tabs>
          <w:tab w:val="num" w:pos="227"/>
        </w:tabs>
        <w:ind w:left="227" w:hanging="227"/>
      </w:pPr>
      <w:rPr>
        <w:rFonts w:ascii="Wingdings" w:hAnsi="Wingdings" w:hint="default"/>
        <w:color w:val="auto"/>
        <w:sz w:val="18"/>
      </w:rPr>
    </w:lvl>
    <w:lvl w:ilvl="2" w:tplc="04160005" w:tentative="1">
      <w:start w:val="1"/>
      <w:numFmt w:val="bullet"/>
      <w:lvlText w:val=""/>
      <w:lvlJc w:val="left"/>
      <w:pPr>
        <w:tabs>
          <w:tab w:val="num" w:pos="2550"/>
        </w:tabs>
        <w:ind w:left="2550" w:hanging="360"/>
      </w:pPr>
      <w:rPr>
        <w:rFonts w:ascii="Wingdings" w:hAnsi="Wingdings" w:hint="default"/>
      </w:rPr>
    </w:lvl>
    <w:lvl w:ilvl="3" w:tplc="04160001" w:tentative="1">
      <w:start w:val="1"/>
      <w:numFmt w:val="bullet"/>
      <w:lvlText w:val=""/>
      <w:lvlJc w:val="left"/>
      <w:pPr>
        <w:tabs>
          <w:tab w:val="num" w:pos="3270"/>
        </w:tabs>
        <w:ind w:left="3270" w:hanging="360"/>
      </w:pPr>
      <w:rPr>
        <w:rFonts w:ascii="Symbol" w:hAnsi="Symbol" w:hint="default"/>
      </w:rPr>
    </w:lvl>
    <w:lvl w:ilvl="4" w:tplc="04160003" w:tentative="1">
      <w:start w:val="1"/>
      <w:numFmt w:val="bullet"/>
      <w:lvlText w:val="o"/>
      <w:lvlJc w:val="left"/>
      <w:pPr>
        <w:tabs>
          <w:tab w:val="num" w:pos="3990"/>
        </w:tabs>
        <w:ind w:left="3990" w:hanging="360"/>
      </w:pPr>
      <w:rPr>
        <w:rFonts w:ascii="Courier New" w:hAnsi="Courier New" w:cs="Courier New" w:hint="default"/>
      </w:rPr>
    </w:lvl>
    <w:lvl w:ilvl="5" w:tplc="04160005" w:tentative="1">
      <w:start w:val="1"/>
      <w:numFmt w:val="bullet"/>
      <w:lvlText w:val=""/>
      <w:lvlJc w:val="left"/>
      <w:pPr>
        <w:tabs>
          <w:tab w:val="num" w:pos="4710"/>
        </w:tabs>
        <w:ind w:left="4710" w:hanging="360"/>
      </w:pPr>
      <w:rPr>
        <w:rFonts w:ascii="Wingdings" w:hAnsi="Wingdings" w:hint="default"/>
      </w:rPr>
    </w:lvl>
    <w:lvl w:ilvl="6" w:tplc="04160001" w:tentative="1">
      <w:start w:val="1"/>
      <w:numFmt w:val="bullet"/>
      <w:lvlText w:val=""/>
      <w:lvlJc w:val="left"/>
      <w:pPr>
        <w:tabs>
          <w:tab w:val="num" w:pos="5430"/>
        </w:tabs>
        <w:ind w:left="5430" w:hanging="360"/>
      </w:pPr>
      <w:rPr>
        <w:rFonts w:ascii="Symbol" w:hAnsi="Symbol" w:hint="default"/>
      </w:rPr>
    </w:lvl>
    <w:lvl w:ilvl="7" w:tplc="04160003" w:tentative="1">
      <w:start w:val="1"/>
      <w:numFmt w:val="bullet"/>
      <w:lvlText w:val="o"/>
      <w:lvlJc w:val="left"/>
      <w:pPr>
        <w:tabs>
          <w:tab w:val="num" w:pos="6150"/>
        </w:tabs>
        <w:ind w:left="6150" w:hanging="360"/>
      </w:pPr>
      <w:rPr>
        <w:rFonts w:ascii="Courier New" w:hAnsi="Courier New" w:cs="Courier New" w:hint="default"/>
      </w:rPr>
    </w:lvl>
    <w:lvl w:ilvl="8" w:tplc="0416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5"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7"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86E1D"/>
    <w:multiLevelType w:val="hybridMultilevel"/>
    <w:tmpl w:val="8DAA14F4"/>
    <w:lvl w:ilvl="0" w:tplc="BF7A1BA0">
      <w:start w:val="1"/>
      <w:numFmt w:val="bullet"/>
      <w:lvlText w:val=""/>
      <w:lvlJc w:val="left"/>
      <w:pPr>
        <w:tabs>
          <w:tab w:val="num" w:pos="227"/>
        </w:tabs>
        <w:ind w:left="227" w:hanging="227"/>
      </w:pPr>
      <w:rPr>
        <w:rFonts w:ascii="Wingdings" w:hAnsi="Wingdings" w:hint="default"/>
        <w:color w:val="auto"/>
        <w:sz w:val="18"/>
      </w:rPr>
    </w:lvl>
    <w:lvl w:ilvl="1" w:tplc="0416000F">
      <w:start w:val="1"/>
      <w:numFmt w:val="decimal"/>
      <w:lvlText w:val="%2."/>
      <w:lvlJc w:val="left"/>
      <w:pPr>
        <w:tabs>
          <w:tab w:val="num" w:pos="1830"/>
        </w:tabs>
        <w:ind w:left="1830" w:hanging="360"/>
      </w:pPr>
      <w:rPr>
        <w:rFonts w:hint="default"/>
        <w:color w:val="auto"/>
        <w:sz w:val="18"/>
      </w:rPr>
    </w:lvl>
    <w:lvl w:ilvl="2" w:tplc="04160005" w:tentative="1">
      <w:start w:val="1"/>
      <w:numFmt w:val="bullet"/>
      <w:lvlText w:val=""/>
      <w:lvlJc w:val="left"/>
      <w:pPr>
        <w:tabs>
          <w:tab w:val="num" w:pos="2550"/>
        </w:tabs>
        <w:ind w:left="2550" w:hanging="360"/>
      </w:pPr>
      <w:rPr>
        <w:rFonts w:ascii="Wingdings" w:hAnsi="Wingdings" w:hint="default"/>
      </w:rPr>
    </w:lvl>
    <w:lvl w:ilvl="3" w:tplc="04160001" w:tentative="1">
      <w:start w:val="1"/>
      <w:numFmt w:val="bullet"/>
      <w:lvlText w:val=""/>
      <w:lvlJc w:val="left"/>
      <w:pPr>
        <w:tabs>
          <w:tab w:val="num" w:pos="3270"/>
        </w:tabs>
        <w:ind w:left="3270" w:hanging="360"/>
      </w:pPr>
      <w:rPr>
        <w:rFonts w:ascii="Symbol" w:hAnsi="Symbol" w:hint="default"/>
      </w:rPr>
    </w:lvl>
    <w:lvl w:ilvl="4" w:tplc="04160003" w:tentative="1">
      <w:start w:val="1"/>
      <w:numFmt w:val="bullet"/>
      <w:lvlText w:val="o"/>
      <w:lvlJc w:val="left"/>
      <w:pPr>
        <w:tabs>
          <w:tab w:val="num" w:pos="3990"/>
        </w:tabs>
        <w:ind w:left="3990" w:hanging="360"/>
      </w:pPr>
      <w:rPr>
        <w:rFonts w:ascii="Courier New" w:hAnsi="Courier New" w:cs="Courier New" w:hint="default"/>
      </w:rPr>
    </w:lvl>
    <w:lvl w:ilvl="5" w:tplc="04160005" w:tentative="1">
      <w:start w:val="1"/>
      <w:numFmt w:val="bullet"/>
      <w:lvlText w:val=""/>
      <w:lvlJc w:val="left"/>
      <w:pPr>
        <w:tabs>
          <w:tab w:val="num" w:pos="4710"/>
        </w:tabs>
        <w:ind w:left="4710" w:hanging="360"/>
      </w:pPr>
      <w:rPr>
        <w:rFonts w:ascii="Wingdings" w:hAnsi="Wingdings" w:hint="default"/>
      </w:rPr>
    </w:lvl>
    <w:lvl w:ilvl="6" w:tplc="04160001" w:tentative="1">
      <w:start w:val="1"/>
      <w:numFmt w:val="bullet"/>
      <w:lvlText w:val=""/>
      <w:lvlJc w:val="left"/>
      <w:pPr>
        <w:tabs>
          <w:tab w:val="num" w:pos="5430"/>
        </w:tabs>
        <w:ind w:left="5430" w:hanging="360"/>
      </w:pPr>
      <w:rPr>
        <w:rFonts w:ascii="Symbol" w:hAnsi="Symbol" w:hint="default"/>
      </w:rPr>
    </w:lvl>
    <w:lvl w:ilvl="7" w:tplc="04160003" w:tentative="1">
      <w:start w:val="1"/>
      <w:numFmt w:val="bullet"/>
      <w:lvlText w:val="o"/>
      <w:lvlJc w:val="left"/>
      <w:pPr>
        <w:tabs>
          <w:tab w:val="num" w:pos="6150"/>
        </w:tabs>
        <w:ind w:left="6150" w:hanging="360"/>
      </w:pPr>
      <w:rPr>
        <w:rFonts w:ascii="Courier New" w:hAnsi="Courier New" w:cs="Courier New" w:hint="default"/>
      </w:rPr>
    </w:lvl>
    <w:lvl w:ilvl="8" w:tplc="0416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5"/>
  </w:num>
  <w:num w:numId="3">
    <w:abstractNumId w:val="22"/>
  </w:num>
  <w:num w:numId="4">
    <w:abstractNumId w:val="30"/>
  </w:num>
  <w:num w:numId="5">
    <w:abstractNumId w:val="16"/>
  </w:num>
  <w:num w:numId="6">
    <w:abstractNumId w:val="28"/>
  </w:num>
  <w:num w:numId="7">
    <w:abstractNumId w:val="8"/>
  </w:num>
  <w:num w:numId="8">
    <w:abstractNumId w:val="7"/>
  </w:num>
  <w:num w:numId="9">
    <w:abstractNumId w:val="4"/>
  </w:num>
  <w:num w:numId="10">
    <w:abstractNumId w:val="23"/>
  </w:num>
  <w:num w:numId="11">
    <w:abstractNumId w:val="14"/>
  </w:num>
  <w:num w:numId="12">
    <w:abstractNumId w:val="26"/>
  </w:num>
  <w:num w:numId="13">
    <w:abstractNumId w:val="31"/>
  </w:num>
  <w:num w:numId="14">
    <w:abstractNumId w:val="24"/>
  </w:num>
  <w:num w:numId="15">
    <w:abstractNumId w:val="25"/>
  </w:num>
  <w:num w:numId="16">
    <w:abstractNumId w:val="0"/>
  </w:num>
  <w:num w:numId="17">
    <w:abstractNumId w:val="6"/>
  </w:num>
  <w:num w:numId="18">
    <w:abstractNumId w:val="29"/>
  </w:num>
  <w:num w:numId="19">
    <w:abstractNumId w:val="21"/>
  </w:num>
  <w:num w:numId="20">
    <w:abstractNumId w:val="10"/>
  </w:num>
  <w:num w:numId="21">
    <w:abstractNumId w:val="5"/>
  </w:num>
  <w:num w:numId="22">
    <w:abstractNumId w:val="13"/>
  </w:num>
  <w:num w:numId="23">
    <w:abstractNumId w:val="9"/>
  </w:num>
  <w:num w:numId="24">
    <w:abstractNumId w:val="18"/>
  </w:num>
  <w:num w:numId="25">
    <w:abstractNumId w:val="1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1"/>
  </w:num>
  <w:num w:numId="34">
    <w:abstractNumId w:val="27"/>
  </w:num>
  <w:num w:numId="35">
    <w:abstractNumId w:val="2"/>
  </w:num>
  <w:num w:numId="36">
    <w:abstractNumId w:val="19"/>
  </w:num>
  <w:num w:numId="37">
    <w:abstractNumId w:val="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051EC"/>
    <w:rsid w:val="0001124E"/>
    <w:rsid w:val="00014100"/>
    <w:rsid w:val="00014B97"/>
    <w:rsid w:val="00015C29"/>
    <w:rsid w:val="00016A4D"/>
    <w:rsid w:val="00021169"/>
    <w:rsid w:val="00024356"/>
    <w:rsid w:val="0002435E"/>
    <w:rsid w:val="0002466D"/>
    <w:rsid w:val="00026067"/>
    <w:rsid w:val="000260E0"/>
    <w:rsid w:val="000269CA"/>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5F6F"/>
    <w:rsid w:val="000860A2"/>
    <w:rsid w:val="00086246"/>
    <w:rsid w:val="00092403"/>
    <w:rsid w:val="000A2CBC"/>
    <w:rsid w:val="000A4FE6"/>
    <w:rsid w:val="000A5E2F"/>
    <w:rsid w:val="000A67C7"/>
    <w:rsid w:val="000A7335"/>
    <w:rsid w:val="000A7E68"/>
    <w:rsid w:val="000B4643"/>
    <w:rsid w:val="000B6BFE"/>
    <w:rsid w:val="000B6C6A"/>
    <w:rsid w:val="000C057B"/>
    <w:rsid w:val="000C4A48"/>
    <w:rsid w:val="000D1800"/>
    <w:rsid w:val="000D32FB"/>
    <w:rsid w:val="000D4890"/>
    <w:rsid w:val="000E2119"/>
    <w:rsid w:val="000E2163"/>
    <w:rsid w:val="000E740D"/>
    <w:rsid w:val="000E75C0"/>
    <w:rsid w:val="000F0084"/>
    <w:rsid w:val="000F4495"/>
    <w:rsid w:val="000F7A26"/>
    <w:rsid w:val="0010010A"/>
    <w:rsid w:val="001002E7"/>
    <w:rsid w:val="00101CA9"/>
    <w:rsid w:val="001043BC"/>
    <w:rsid w:val="0011154A"/>
    <w:rsid w:val="00112634"/>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6FD"/>
    <w:rsid w:val="00137CC0"/>
    <w:rsid w:val="00141464"/>
    <w:rsid w:val="00142A1E"/>
    <w:rsid w:val="001456BD"/>
    <w:rsid w:val="00146989"/>
    <w:rsid w:val="00155695"/>
    <w:rsid w:val="00156097"/>
    <w:rsid w:val="00160BC5"/>
    <w:rsid w:val="0016267E"/>
    <w:rsid w:val="00162A01"/>
    <w:rsid w:val="00163A25"/>
    <w:rsid w:val="00163C22"/>
    <w:rsid w:val="00164A11"/>
    <w:rsid w:val="00164D7A"/>
    <w:rsid w:val="00165750"/>
    <w:rsid w:val="00165E00"/>
    <w:rsid w:val="001671C1"/>
    <w:rsid w:val="00170A8A"/>
    <w:rsid w:val="00174436"/>
    <w:rsid w:val="00176883"/>
    <w:rsid w:val="001770E8"/>
    <w:rsid w:val="00177113"/>
    <w:rsid w:val="00180F3C"/>
    <w:rsid w:val="001820C8"/>
    <w:rsid w:val="00183BD9"/>
    <w:rsid w:val="00183E60"/>
    <w:rsid w:val="00184212"/>
    <w:rsid w:val="0018799B"/>
    <w:rsid w:val="00187D53"/>
    <w:rsid w:val="00194D3A"/>
    <w:rsid w:val="001977EA"/>
    <w:rsid w:val="001A19DB"/>
    <w:rsid w:val="001A2179"/>
    <w:rsid w:val="001A44D0"/>
    <w:rsid w:val="001A46F1"/>
    <w:rsid w:val="001A4DED"/>
    <w:rsid w:val="001B02AD"/>
    <w:rsid w:val="001B3F3E"/>
    <w:rsid w:val="001B6935"/>
    <w:rsid w:val="001C2027"/>
    <w:rsid w:val="001C4289"/>
    <w:rsid w:val="001C4378"/>
    <w:rsid w:val="001C520F"/>
    <w:rsid w:val="001C53B4"/>
    <w:rsid w:val="001D0079"/>
    <w:rsid w:val="001D154A"/>
    <w:rsid w:val="001D2414"/>
    <w:rsid w:val="001D28BA"/>
    <w:rsid w:val="001D5B19"/>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0AD5"/>
    <w:rsid w:val="00234CD9"/>
    <w:rsid w:val="00240058"/>
    <w:rsid w:val="0024475D"/>
    <w:rsid w:val="00244D30"/>
    <w:rsid w:val="00244EC4"/>
    <w:rsid w:val="00246BFE"/>
    <w:rsid w:val="00246C59"/>
    <w:rsid w:val="0024740A"/>
    <w:rsid w:val="00250B64"/>
    <w:rsid w:val="00253F81"/>
    <w:rsid w:val="0026059E"/>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AE4"/>
    <w:rsid w:val="002B5C82"/>
    <w:rsid w:val="002B610C"/>
    <w:rsid w:val="002B68C0"/>
    <w:rsid w:val="002B6E19"/>
    <w:rsid w:val="002B7222"/>
    <w:rsid w:val="002C0167"/>
    <w:rsid w:val="002C26CB"/>
    <w:rsid w:val="002C34FC"/>
    <w:rsid w:val="002D04DE"/>
    <w:rsid w:val="002D18ED"/>
    <w:rsid w:val="002D2261"/>
    <w:rsid w:val="002D3AF4"/>
    <w:rsid w:val="002D3E5D"/>
    <w:rsid w:val="002D42BE"/>
    <w:rsid w:val="002E16C3"/>
    <w:rsid w:val="002E4BCF"/>
    <w:rsid w:val="002E5DC6"/>
    <w:rsid w:val="002F04AE"/>
    <w:rsid w:val="002F099A"/>
    <w:rsid w:val="002F1574"/>
    <w:rsid w:val="00300B13"/>
    <w:rsid w:val="00302348"/>
    <w:rsid w:val="003037DD"/>
    <w:rsid w:val="003051B5"/>
    <w:rsid w:val="003054E2"/>
    <w:rsid w:val="00306791"/>
    <w:rsid w:val="00306E97"/>
    <w:rsid w:val="003103D9"/>
    <w:rsid w:val="003108E5"/>
    <w:rsid w:val="003121B5"/>
    <w:rsid w:val="00312C15"/>
    <w:rsid w:val="0031753D"/>
    <w:rsid w:val="003206CC"/>
    <w:rsid w:val="00331221"/>
    <w:rsid w:val="00331675"/>
    <w:rsid w:val="0033169A"/>
    <w:rsid w:val="0033220C"/>
    <w:rsid w:val="0033535F"/>
    <w:rsid w:val="0033666C"/>
    <w:rsid w:val="00341108"/>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90670"/>
    <w:rsid w:val="00392A0D"/>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0554"/>
    <w:rsid w:val="003D1450"/>
    <w:rsid w:val="003D3571"/>
    <w:rsid w:val="003E1443"/>
    <w:rsid w:val="003E2A24"/>
    <w:rsid w:val="003E4416"/>
    <w:rsid w:val="003E48FA"/>
    <w:rsid w:val="003E527F"/>
    <w:rsid w:val="003E5389"/>
    <w:rsid w:val="003E5584"/>
    <w:rsid w:val="003E63F9"/>
    <w:rsid w:val="003E70C2"/>
    <w:rsid w:val="003F1AF4"/>
    <w:rsid w:val="003F4CD1"/>
    <w:rsid w:val="003F6966"/>
    <w:rsid w:val="003F6B51"/>
    <w:rsid w:val="00400553"/>
    <w:rsid w:val="0040299B"/>
    <w:rsid w:val="00406FD1"/>
    <w:rsid w:val="0041026D"/>
    <w:rsid w:val="00413060"/>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47823"/>
    <w:rsid w:val="004545EE"/>
    <w:rsid w:val="0045501A"/>
    <w:rsid w:val="0045502B"/>
    <w:rsid w:val="004575EF"/>
    <w:rsid w:val="00460D27"/>
    <w:rsid w:val="00471B30"/>
    <w:rsid w:val="0047503B"/>
    <w:rsid w:val="00477F04"/>
    <w:rsid w:val="00482340"/>
    <w:rsid w:val="00482F05"/>
    <w:rsid w:val="00485469"/>
    <w:rsid w:val="0048724E"/>
    <w:rsid w:val="0049105C"/>
    <w:rsid w:val="004963E5"/>
    <w:rsid w:val="004A1867"/>
    <w:rsid w:val="004A22D2"/>
    <w:rsid w:val="004A2C52"/>
    <w:rsid w:val="004A6165"/>
    <w:rsid w:val="004B1D8C"/>
    <w:rsid w:val="004B223C"/>
    <w:rsid w:val="004B23E5"/>
    <w:rsid w:val="004B3455"/>
    <w:rsid w:val="004B5A08"/>
    <w:rsid w:val="004B667C"/>
    <w:rsid w:val="004D17F6"/>
    <w:rsid w:val="004D49D1"/>
    <w:rsid w:val="004D4A98"/>
    <w:rsid w:val="004D737C"/>
    <w:rsid w:val="004D7908"/>
    <w:rsid w:val="004E042B"/>
    <w:rsid w:val="004E3208"/>
    <w:rsid w:val="004E425A"/>
    <w:rsid w:val="004E5803"/>
    <w:rsid w:val="004E7317"/>
    <w:rsid w:val="004F262D"/>
    <w:rsid w:val="004F4740"/>
    <w:rsid w:val="004F74CE"/>
    <w:rsid w:val="0050219A"/>
    <w:rsid w:val="00504EDB"/>
    <w:rsid w:val="00506689"/>
    <w:rsid w:val="00510D4C"/>
    <w:rsid w:val="0051449E"/>
    <w:rsid w:val="0051594A"/>
    <w:rsid w:val="00523C7E"/>
    <w:rsid w:val="00527DF8"/>
    <w:rsid w:val="00530B29"/>
    <w:rsid w:val="00535132"/>
    <w:rsid w:val="00545CD8"/>
    <w:rsid w:val="005507D8"/>
    <w:rsid w:val="00550A74"/>
    <w:rsid w:val="005528B6"/>
    <w:rsid w:val="00557BA7"/>
    <w:rsid w:val="005608D0"/>
    <w:rsid w:val="00564BD8"/>
    <w:rsid w:val="005701F1"/>
    <w:rsid w:val="005756E0"/>
    <w:rsid w:val="005765FD"/>
    <w:rsid w:val="00577341"/>
    <w:rsid w:val="00582568"/>
    <w:rsid w:val="00582D5A"/>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654D"/>
    <w:rsid w:val="005D09D6"/>
    <w:rsid w:val="005D3A95"/>
    <w:rsid w:val="005D4306"/>
    <w:rsid w:val="005D44F4"/>
    <w:rsid w:val="005D5F65"/>
    <w:rsid w:val="005D67B8"/>
    <w:rsid w:val="005E1E1C"/>
    <w:rsid w:val="005E4EFE"/>
    <w:rsid w:val="005E5DDA"/>
    <w:rsid w:val="005E6563"/>
    <w:rsid w:val="005E7B4C"/>
    <w:rsid w:val="005E7C37"/>
    <w:rsid w:val="005F0E4B"/>
    <w:rsid w:val="005F23D9"/>
    <w:rsid w:val="005F2C6E"/>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31C2"/>
    <w:rsid w:val="00654AB3"/>
    <w:rsid w:val="00657EDE"/>
    <w:rsid w:val="00657EFE"/>
    <w:rsid w:val="0066090D"/>
    <w:rsid w:val="00664629"/>
    <w:rsid w:val="006667FB"/>
    <w:rsid w:val="00667AC7"/>
    <w:rsid w:val="00670BA8"/>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2A39"/>
    <w:rsid w:val="00713B9A"/>
    <w:rsid w:val="00716ADE"/>
    <w:rsid w:val="007200AF"/>
    <w:rsid w:val="00720BB3"/>
    <w:rsid w:val="00722D60"/>
    <w:rsid w:val="007260C4"/>
    <w:rsid w:val="007322C0"/>
    <w:rsid w:val="007352CB"/>
    <w:rsid w:val="00736F29"/>
    <w:rsid w:val="007378E2"/>
    <w:rsid w:val="00751509"/>
    <w:rsid w:val="00754C3E"/>
    <w:rsid w:val="00755E20"/>
    <w:rsid w:val="007611AE"/>
    <w:rsid w:val="007618D8"/>
    <w:rsid w:val="00761F55"/>
    <w:rsid w:val="00762CA7"/>
    <w:rsid w:val="007630D2"/>
    <w:rsid w:val="00764E83"/>
    <w:rsid w:val="0076798C"/>
    <w:rsid w:val="007708C4"/>
    <w:rsid w:val="00772D00"/>
    <w:rsid w:val="0077328F"/>
    <w:rsid w:val="007743EA"/>
    <w:rsid w:val="0078051A"/>
    <w:rsid w:val="0078345A"/>
    <w:rsid w:val="00784FC0"/>
    <w:rsid w:val="00787D2A"/>
    <w:rsid w:val="00791AA5"/>
    <w:rsid w:val="00792A9A"/>
    <w:rsid w:val="0079462F"/>
    <w:rsid w:val="00795AA7"/>
    <w:rsid w:val="007972E7"/>
    <w:rsid w:val="007A1047"/>
    <w:rsid w:val="007A1B43"/>
    <w:rsid w:val="007B18B0"/>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0B75"/>
    <w:rsid w:val="008113A1"/>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0B2B"/>
    <w:rsid w:val="00863747"/>
    <w:rsid w:val="008734C5"/>
    <w:rsid w:val="00874145"/>
    <w:rsid w:val="00874A69"/>
    <w:rsid w:val="00875237"/>
    <w:rsid w:val="00880F99"/>
    <w:rsid w:val="00883840"/>
    <w:rsid w:val="00885EE2"/>
    <w:rsid w:val="008912D0"/>
    <w:rsid w:val="0089522E"/>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5D39"/>
    <w:rsid w:val="008D6714"/>
    <w:rsid w:val="008E5CA3"/>
    <w:rsid w:val="008F3BCC"/>
    <w:rsid w:val="0090023F"/>
    <w:rsid w:val="0090324F"/>
    <w:rsid w:val="00903DD5"/>
    <w:rsid w:val="00904A13"/>
    <w:rsid w:val="009104FF"/>
    <w:rsid w:val="009114F4"/>
    <w:rsid w:val="00915A9F"/>
    <w:rsid w:val="00916CD3"/>
    <w:rsid w:val="00916E53"/>
    <w:rsid w:val="00922B65"/>
    <w:rsid w:val="00922CDA"/>
    <w:rsid w:val="00922E5F"/>
    <w:rsid w:val="009247D8"/>
    <w:rsid w:val="00924830"/>
    <w:rsid w:val="0093017E"/>
    <w:rsid w:val="00931C8A"/>
    <w:rsid w:val="00935FFE"/>
    <w:rsid w:val="00942473"/>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4816"/>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50A96"/>
    <w:rsid w:val="00A50DBA"/>
    <w:rsid w:val="00A61C70"/>
    <w:rsid w:val="00A632AA"/>
    <w:rsid w:val="00A679E0"/>
    <w:rsid w:val="00A71227"/>
    <w:rsid w:val="00A71244"/>
    <w:rsid w:val="00A71CB4"/>
    <w:rsid w:val="00A71EA3"/>
    <w:rsid w:val="00A72871"/>
    <w:rsid w:val="00A7334B"/>
    <w:rsid w:val="00A74D8D"/>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1EC9"/>
    <w:rsid w:val="00AE4B53"/>
    <w:rsid w:val="00AE6ADC"/>
    <w:rsid w:val="00AE70AF"/>
    <w:rsid w:val="00AF0671"/>
    <w:rsid w:val="00AF3877"/>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4F6"/>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75DE0"/>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4C"/>
    <w:rsid w:val="00BD02EE"/>
    <w:rsid w:val="00BD22C7"/>
    <w:rsid w:val="00BD5FE3"/>
    <w:rsid w:val="00BD6FF3"/>
    <w:rsid w:val="00BE0B1A"/>
    <w:rsid w:val="00BE2110"/>
    <w:rsid w:val="00BE36CA"/>
    <w:rsid w:val="00BE7E40"/>
    <w:rsid w:val="00BF3001"/>
    <w:rsid w:val="00BF5941"/>
    <w:rsid w:val="00BF59F6"/>
    <w:rsid w:val="00BF65CD"/>
    <w:rsid w:val="00BF75F0"/>
    <w:rsid w:val="00C01545"/>
    <w:rsid w:val="00C02DFF"/>
    <w:rsid w:val="00C030F9"/>
    <w:rsid w:val="00C03EE0"/>
    <w:rsid w:val="00C060B5"/>
    <w:rsid w:val="00C06160"/>
    <w:rsid w:val="00C12407"/>
    <w:rsid w:val="00C13E97"/>
    <w:rsid w:val="00C16A30"/>
    <w:rsid w:val="00C21F8B"/>
    <w:rsid w:val="00C224BC"/>
    <w:rsid w:val="00C228C1"/>
    <w:rsid w:val="00C26241"/>
    <w:rsid w:val="00C27251"/>
    <w:rsid w:val="00C3173E"/>
    <w:rsid w:val="00C31A73"/>
    <w:rsid w:val="00C31EAD"/>
    <w:rsid w:val="00C32BA1"/>
    <w:rsid w:val="00C33F9E"/>
    <w:rsid w:val="00C37535"/>
    <w:rsid w:val="00C375F0"/>
    <w:rsid w:val="00C412A4"/>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32F7"/>
    <w:rsid w:val="00CB3D51"/>
    <w:rsid w:val="00CB40B1"/>
    <w:rsid w:val="00CB4C28"/>
    <w:rsid w:val="00CC08F3"/>
    <w:rsid w:val="00CC57AE"/>
    <w:rsid w:val="00CC71FB"/>
    <w:rsid w:val="00CC7D0A"/>
    <w:rsid w:val="00CD177E"/>
    <w:rsid w:val="00CD2DFB"/>
    <w:rsid w:val="00CD4ED7"/>
    <w:rsid w:val="00CD61D8"/>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37A29"/>
    <w:rsid w:val="00D40DE3"/>
    <w:rsid w:val="00D41410"/>
    <w:rsid w:val="00D43D4F"/>
    <w:rsid w:val="00D44823"/>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34F8"/>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476D"/>
    <w:rsid w:val="00DA5230"/>
    <w:rsid w:val="00DA69AD"/>
    <w:rsid w:val="00DB0A05"/>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966"/>
    <w:rsid w:val="00DD5CEA"/>
    <w:rsid w:val="00DD622A"/>
    <w:rsid w:val="00DD6D21"/>
    <w:rsid w:val="00DD7B0E"/>
    <w:rsid w:val="00DE4313"/>
    <w:rsid w:val="00DE52BB"/>
    <w:rsid w:val="00DE7441"/>
    <w:rsid w:val="00DE75E5"/>
    <w:rsid w:val="00DF1A5C"/>
    <w:rsid w:val="00DF1EF3"/>
    <w:rsid w:val="00DF32A9"/>
    <w:rsid w:val="00DF4019"/>
    <w:rsid w:val="00E02374"/>
    <w:rsid w:val="00E0295F"/>
    <w:rsid w:val="00E03F71"/>
    <w:rsid w:val="00E05D4C"/>
    <w:rsid w:val="00E05EA8"/>
    <w:rsid w:val="00E07892"/>
    <w:rsid w:val="00E1183C"/>
    <w:rsid w:val="00E11CBF"/>
    <w:rsid w:val="00E125D8"/>
    <w:rsid w:val="00E13452"/>
    <w:rsid w:val="00E14954"/>
    <w:rsid w:val="00E14EA4"/>
    <w:rsid w:val="00E174E5"/>
    <w:rsid w:val="00E20457"/>
    <w:rsid w:val="00E21FCF"/>
    <w:rsid w:val="00E23678"/>
    <w:rsid w:val="00E2371A"/>
    <w:rsid w:val="00E266FE"/>
    <w:rsid w:val="00E27147"/>
    <w:rsid w:val="00E27272"/>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A11BD"/>
    <w:rsid w:val="00EA26BD"/>
    <w:rsid w:val="00EA46E1"/>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56C5"/>
    <w:rsid w:val="00EE610D"/>
    <w:rsid w:val="00EE62FF"/>
    <w:rsid w:val="00EE70CA"/>
    <w:rsid w:val="00EF0323"/>
    <w:rsid w:val="00EF2155"/>
    <w:rsid w:val="00EF2FA2"/>
    <w:rsid w:val="00EF2FE0"/>
    <w:rsid w:val="00EF3F6E"/>
    <w:rsid w:val="00EF5254"/>
    <w:rsid w:val="00EF5A35"/>
    <w:rsid w:val="00EF63D9"/>
    <w:rsid w:val="00EF7812"/>
    <w:rsid w:val="00F035DA"/>
    <w:rsid w:val="00F060CB"/>
    <w:rsid w:val="00F06353"/>
    <w:rsid w:val="00F07EF0"/>
    <w:rsid w:val="00F10200"/>
    <w:rsid w:val="00F102A3"/>
    <w:rsid w:val="00F14C88"/>
    <w:rsid w:val="00F1639E"/>
    <w:rsid w:val="00F27A47"/>
    <w:rsid w:val="00F30580"/>
    <w:rsid w:val="00F3094C"/>
    <w:rsid w:val="00F30C78"/>
    <w:rsid w:val="00F31E81"/>
    <w:rsid w:val="00F34840"/>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6CF9"/>
    <w:rsid w:val="00FA7B46"/>
    <w:rsid w:val="00FB13F2"/>
    <w:rsid w:val="00FB6908"/>
    <w:rsid w:val="00FC19F7"/>
    <w:rsid w:val="00FC32D7"/>
    <w:rsid w:val="00FC3C12"/>
    <w:rsid w:val="00FC48CF"/>
    <w:rsid w:val="00FC495A"/>
    <w:rsid w:val="00FC52E0"/>
    <w:rsid w:val="00FC5A75"/>
    <w:rsid w:val="00FC6578"/>
    <w:rsid w:val="00FC66E6"/>
    <w:rsid w:val="00FD47DE"/>
    <w:rsid w:val="00FD5C6E"/>
    <w:rsid w:val="00FE08A4"/>
    <w:rsid w:val="00FE0D72"/>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84FBBD"/>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44978164">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957591864">
      <w:bodyDiv w:val="1"/>
      <w:marLeft w:val="0"/>
      <w:marRight w:val="0"/>
      <w:marTop w:val="0"/>
      <w:marBottom w:val="0"/>
      <w:divBdr>
        <w:top w:val="none" w:sz="0" w:space="0" w:color="auto"/>
        <w:left w:val="none" w:sz="0" w:space="0" w:color="auto"/>
        <w:bottom w:val="none" w:sz="0" w:space="0" w:color="auto"/>
        <w:right w:val="none" w:sz="0" w:space="0" w:color="auto"/>
      </w:divBdr>
    </w:div>
    <w:div w:id="21433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aiovaz@qtm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CB7C4-6606-4FB9-B029-83164F86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13</Pages>
  <Words>5196</Words>
  <Characters>28061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45</cp:revision>
  <cp:lastPrinted>2017-05-18T12:35:00Z</cp:lastPrinted>
  <dcterms:created xsi:type="dcterms:W3CDTF">2021-03-02T18:43:00Z</dcterms:created>
  <dcterms:modified xsi:type="dcterms:W3CDTF">2021-03-18T20:52:00Z</dcterms:modified>
</cp:coreProperties>
</file>